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E6" w:rsidRDefault="0053603F" w:rsidP="00D120E6">
      <w:pPr>
        <w:rPr>
          <w:rStyle w:val="a7"/>
          <w:rFonts w:ascii="Calibri" w:hAnsi="Calibri"/>
          <w:b w:val="0"/>
          <w:sz w:val="28"/>
        </w:rPr>
      </w:pPr>
      <w:r>
        <w:rPr>
          <w:rStyle w:val="a7"/>
          <w:rFonts w:ascii="Calibri" w:hAnsi="Calibri"/>
          <w:b w:val="0"/>
          <w:sz w:val="28"/>
        </w:rPr>
        <w:t>Примітки до річної фінансо</w:t>
      </w:r>
      <w:r w:rsidR="009A79E8">
        <w:rPr>
          <w:rStyle w:val="a7"/>
          <w:rFonts w:ascii="Calibri" w:hAnsi="Calibri"/>
          <w:b w:val="0"/>
          <w:sz w:val="28"/>
        </w:rPr>
        <w:t>вої звітності КС «</w:t>
      </w:r>
      <w:proofErr w:type="spellStart"/>
      <w:r w:rsidR="009A79E8">
        <w:rPr>
          <w:rStyle w:val="a7"/>
          <w:rFonts w:ascii="Calibri" w:hAnsi="Calibri"/>
          <w:b w:val="0"/>
          <w:sz w:val="28"/>
        </w:rPr>
        <w:t>Хосен</w:t>
      </w:r>
      <w:proofErr w:type="spellEnd"/>
      <w:r w:rsidR="009A79E8">
        <w:rPr>
          <w:rStyle w:val="a7"/>
          <w:rFonts w:ascii="Calibri" w:hAnsi="Calibri"/>
          <w:b w:val="0"/>
          <w:sz w:val="28"/>
        </w:rPr>
        <w:t>» за 201</w:t>
      </w:r>
      <w:r w:rsidR="009A79E8" w:rsidRPr="009A79E8">
        <w:rPr>
          <w:rStyle w:val="a7"/>
          <w:rFonts w:ascii="Calibri" w:hAnsi="Calibri"/>
          <w:b w:val="0"/>
          <w:sz w:val="28"/>
          <w:lang w:val="ru-RU"/>
        </w:rPr>
        <w:t>6</w:t>
      </w:r>
      <w:r>
        <w:rPr>
          <w:rStyle w:val="a7"/>
          <w:rFonts w:ascii="Calibri" w:hAnsi="Calibri"/>
          <w:b w:val="0"/>
          <w:sz w:val="28"/>
        </w:rPr>
        <w:t>рік.</w:t>
      </w:r>
    </w:p>
    <w:p w:rsidR="0053603F" w:rsidRDefault="0053603F" w:rsidP="00D120E6">
      <w:pPr>
        <w:rPr>
          <w:rStyle w:val="a7"/>
          <w:rFonts w:ascii="Calibri" w:hAnsi="Calibri"/>
          <w:b w:val="0"/>
          <w:sz w:val="28"/>
        </w:rPr>
      </w:pPr>
    </w:p>
    <w:p w:rsidR="00D120E6" w:rsidRDefault="00D120E6" w:rsidP="00234198">
      <w:pPr>
        <w:pStyle w:val="a0"/>
        <w:jc w:val="center"/>
        <w:rPr>
          <w:rStyle w:val="a7"/>
          <w:rFonts w:ascii="Cambria" w:hAnsi="Cambria"/>
          <w:bCs w:val="0"/>
        </w:rPr>
      </w:pPr>
      <w:r>
        <w:rPr>
          <w:rStyle w:val="a7"/>
          <w:bCs w:val="0"/>
        </w:rPr>
        <w:t>Інформація про Кредитну спілку</w:t>
      </w:r>
    </w:p>
    <w:p w:rsidR="00D120E6" w:rsidRDefault="00D120E6" w:rsidP="00D120E6">
      <w:pPr>
        <w:rPr>
          <w:i/>
          <w:sz w:val="28"/>
          <w:szCs w:val="28"/>
        </w:rPr>
      </w:pPr>
      <w:r>
        <w:rPr>
          <w:b/>
          <w:i/>
          <w:sz w:val="28"/>
          <w:szCs w:val="28"/>
        </w:rPr>
        <w:t>Основні відомості про кредитну спілку</w:t>
      </w:r>
    </w:p>
    <w:p w:rsidR="00D120E6" w:rsidRDefault="00D120E6" w:rsidP="00D120E6">
      <w:pPr>
        <w:rPr>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1103"/>
        <w:gridCol w:w="1853"/>
        <w:gridCol w:w="1561"/>
        <w:gridCol w:w="1478"/>
        <w:gridCol w:w="2169"/>
      </w:tblGrid>
      <w:tr w:rsidR="00D120E6" w:rsidTr="00D120E6">
        <w:trPr>
          <w:trHeight w:val="375"/>
        </w:trPr>
        <w:tc>
          <w:tcPr>
            <w:tcW w:w="9644" w:type="dxa"/>
            <w:gridSpan w:val="6"/>
            <w:tcBorders>
              <w:top w:val="single" w:sz="4" w:space="0" w:color="auto"/>
              <w:left w:val="single" w:sz="4" w:space="0" w:color="auto"/>
              <w:bottom w:val="single" w:sz="4" w:space="0" w:color="auto"/>
              <w:right w:val="single" w:sz="4" w:space="0" w:color="auto"/>
            </w:tcBorders>
            <w:hideMark/>
          </w:tcPr>
          <w:p w:rsidR="00D120E6" w:rsidRDefault="00D120E6">
            <w:pPr>
              <w:jc w:val="center"/>
              <w:rPr>
                <w:b/>
                <w:bCs/>
                <w:i/>
                <w:iCs/>
                <w:sz w:val="28"/>
                <w:szCs w:val="28"/>
              </w:rPr>
            </w:pPr>
            <w:r>
              <w:rPr>
                <w:b/>
                <w:bCs/>
                <w:i/>
                <w:iCs/>
                <w:sz w:val="28"/>
                <w:szCs w:val="28"/>
              </w:rPr>
              <w:t>Основні відомості про Кредитну спілку</w:t>
            </w:r>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Ідентифікаційний код ЄДРПОУ</w:t>
            </w:r>
          </w:p>
        </w:tc>
        <w:tc>
          <w:tcPr>
            <w:tcW w:w="5004" w:type="dxa"/>
            <w:gridSpan w:val="3"/>
            <w:tcBorders>
              <w:top w:val="single" w:sz="4" w:space="0" w:color="auto"/>
              <w:left w:val="single" w:sz="4" w:space="0" w:color="auto"/>
              <w:bottom w:val="single" w:sz="4" w:space="0" w:color="auto"/>
              <w:right w:val="single" w:sz="4" w:space="0" w:color="auto"/>
            </w:tcBorders>
          </w:tcPr>
          <w:p w:rsidR="00D120E6" w:rsidRPr="00234198" w:rsidRDefault="00234198">
            <w:pPr>
              <w:jc w:val="left"/>
              <w:rPr>
                <w:b/>
                <w:bCs/>
                <w:i/>
                <w:iCs/>
                <w:lang w:val="en-US"/>
              </w:rPr>
            </w:pPr>
            <w:r>
              <w:rPr>
                <w:b/>
                <w:bCs/>
                <w:i/>
                <w:iCs/>
                <w:lang w:val="en-US"/>
              </w:rPr>
              <w:t>22107810</w:t>
            </w:r>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Повна назва Кредитної спілки</w:t>
            </w:r>
          </w:p>
        </w:tc>
        <w:tc>
          <w:tcPr>
            <w:tcW w:w="5004" w:type="dxa"/>
            <w:gridSpan w:val="3"/>
            <w:tcBorders>
              <w:top w:val="single" w:sz="4" w:space="0" w:color="auto"/>
              <w:left w:val="single" w:sz="4" w:space="0" w:color="auto"/>
              <w:bottom w:val="single" w:sz="4" w:space="0" w:color="auto"/>
              <w:right w:val="single" w:sz="4" w:space="0" w:color="auto"/>
            </w:tcBorders>
          </w:tcPr>
          <w:p w:rsidR="00D120E6" w:rsidRPr="00234198" w:rsidRDefault="00234198">
            <w:pPr>
              <w:jc w:val="left"/>
              <w:rPr>
                <w:b/>
                <w:bCs/>
                <w:i/>
                <w:iCs/>
              </w:rPr>
            </w:pPr>
            <w:proofErr w:type="spellStart"/>
            <w:r>
              <w:rPr>
                <w:b/>
                <w:bCs/>
                <w:i/>
                <w:iCs/>
              </w:rPr>
              <w:t>Хосен</w:t>
            </w:r>
            <w:proofErr w:type="spellEnd"/>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Вид економічної діяльності за КВЕД</w:t>
            </w:r>
          </w:p>
        </w:tc>
        <w:tc>
          <w:tcPr>
            <w:tcW w:w="1500" w:type="dxa"/>
            <w:tcBorders>
              <w:top w:val="single" w:sz="4" w:space="0" w:color="auto"/>
              <w:left w:val="single" w:sz="4" w:space="0" w:color="auto"/>
              <w:bottom w:val="single" w:sz="4" w:space="0" w:color="auto"/>
              <w:right w:val="single" w:sz="4" w:space="0" w:color="auto"/>
            </w:tcBorders>
          </w:tcPr>
          <w:p w:rsidR="00D120E6" w:rsidRDefault="008E45BA">
            <w:pPr>
              <w:jc w:val="left"/>
              <w:rPr>
                <w:b/>
                <w:bCs/>
                <w:i/>
                <w:iCs/>
              </w:rPr>
            </w:pPr>
            <w:r>
              <w:rPr>
                <w:b/>
                <w:bCs/>
                <w:i/>
                <w:iCs/>
                <w:lang w:val="en-US"/>
              </w:rPr>
              <w:t>64</w:t>
            </w:r>
            <w:r w:rsidR="00234198">
              <w:rPr>
                <w:b/>
                <w:bCs/>
                <w:i/>
                <w:iCs/>
              </w:rPr>
              <w:t>.92</w:t>
            </w:r>
          </w:p>
        </w:tc>
        <w:tc>
          <w:tcPr>
            <w:tcW w:w="3504" w:type="dxa"/>
            <w:gridSpan w:val="2"/>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інші види кредитування</w:t>
            </w:r>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proofErr w:type="spellStart"/>
            <w:r>
              <w:rPr>
                <w:b/>
                <w:bCs/>
                <w:i/>
                <w:iCs/>
              </w:rPr>
              <w:t>Теріторія</w:t>
            </w:r>
            <w:proofErr w:type="spellEnd"/>
            <w:r>
              <w:rPr>
                <w:b/>
                <w:bCs/>
                <w:i/>
                <w:iCs/>
              </w:rPr>
              <w:t xml:space="preserve"> за КОАТУУ</w:t>
            </w:r>
          </w:p>
        </w:tc>
        <w:tc>
          <w:tcPr>
            <w:tcW w:w="5004"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2110100000</w:t>
            </w:r>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 xml:space="preserve">Місцезнаходження </w:t>
            </w:r>
          </w:p>
        </w:tc>
        <w:tc>
          <w:tcPr>
            <w:tcW w:w="5004"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88000,</w:t>
            </w:r>
            <w:r w:rsidR="009A79E8">
              <w:rPr>
                <w:b/>
                <w:bCs/>
                <w:i/>
                <w:iCs/>
                <w:lang w:val="en-US"/>
              </w:rPr>
              <w:t xml:space="preserve"> </w:t>
            </w:r>
            <w:proofErr w:type="spellStart"/>
            <w:r>
              <w:rPr>
                <w:b/>
                <w:bCs/>
                <w:i/>
                <w:iCs/>
              </w:rPr>
              <w:t>м.Ужгород</w:t>
            </w:r>
            <w:proofErr w:type="spellEnd"/>
            <w:r>
              <w:rPr>
                <w:b/>
                <w:bCs/>
                <w:i/>
                <w:iCs/>
              </w:rPr>
              <w:t xml:space="preserve">, </w:t>
            </w:r>
            <w:proofErr w:type="spellStart"/>
            <w:r>
              <w:rPr>
                <w:b/>
                <w:bCs/>
                <w:i/>
                <w:iCs/>
              </w:rPr>
              <w:t>вул</w:t>
            </w:r>
            <w:proofErr w:type="spellEnd"/>
            <w:r>
              <w:rPr>
                <w:b/>
                <w:bCs/>
                <w:i/>
                <w:iCs/>
              </w:rPr>
              <w:t>..</w:t>
            </w:r>
            <w:proofErr w:type="spellStart"/>
            <w:r>
              <w:rPr>
                <w:b/>
                <w:bCs/>
                <w:i/>
                <w:iCs/>
              </w:rPr>
              <w:t>Берчені</w:t>
            </w:r>
            <w:proofErr w:type="spellEnd"/>
            <w:r>
              <w:rPr>
                <w:b/>
                <w:bCs/>
                <w:i/>
                <w:iCs/>
              </w:rPr>
              <w:t xml:space="preserve"> 21</w:t>
            </w:r>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Дата внесення змін до установчих документів</w:t>
            </w:r>
          </w:p>
        </w:tc>
        <w:tc>
          <w:tcPr>
            <w:tcW w:w="5004" w:type="dxa"/>
            <w:gridSpan w:val="3"/>
            <w:tcBorders>
              <w:top w:val="single" w:sz="4" w:space="0" w:color="auto"/>
              <w:left w:val="single" w:sz="4" w:space="0" w:color="auto"/>
              <w:bottom w:val="single" w:sz="4" w:space="0" w:color="auto"/>
              <w:right w:val="single" w:sz="4" w:space="0" w:color="auto"/>
            </w:tcBorders>
          </w:tcPr>
          <w:p w:rsidR="00D120E6" w:rsidRDefault="004F58BC">
            <w:pPr>
              <w:jc w:val="left"/>
              <w:rPr>
                <w:b/>
                <w:bCs/>
                <w:i/>
                <w:iCs/>
              </w:rPr>
            </w:pPr>
            <w:r>
              <w:rPr>
                <w:b/>
                <w:bCs/>
                <w:i/>
                <w:iCs/>
                <w:lang w:val="en-US"/>
              </w:rPr>
              <w:t>1</w:t>
            </w:r>
            <w:r>
              <w:rPr>
                <w:b/>
                <w:bCs/>
                <w:i/>
                <w:iCs/>
              </w:rPr>
              <w:t>9.05.2015</w:t>
            </w:r>
            <w:r w:rsidR="00234198" w:rsidRPr="004F58BC">
              <w:rPr>
                <w:b/>
                <w:bCs/>
                <w:i/>
                <w:iCs/>
              </w:rPr>
              <w:t>р</w:t>
            </w:r>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 xml:space="preserve">Дата державної реєстрації </w:t>
            </w:r>
          </w:p>
        </w:tc>
        <w:tc>
          <w:tcPr>
            <w:tcW w:w="5004"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04.06.2004р</w:t>
            </w:r>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Код фінансової установи</w:t>
            </w:r>
          </w:p>
        </w:tc>
        <w:tc>
          <w:tcPr>
            <w:tcW w:w="5004"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14</w:t>
            </w:r>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Дата реєстрації в реєстрі фінансових установ</w:t>
            </w:r>
          </w:p>
        </w:tc>
        <w:tc>
          <w:tcPr>
            <w:tcW w:w="5004"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04.06.2004р</w:t>
            </w:r>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Реєстраційний номер у Реєстрі  фінансових установ</w:t>
            </w:r>
          </w:p>
        </w:tc>
        <w:tc>
          <w:tcPr>
            <w:tcW w:w="5004"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14100305</w:t>
            </w:r>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 xml:space="preserve">Реквізити свідоцтва фінансової установи </w:t>
            </w:r>
          </w:p>
        </w:tc>
        <w:tc>
          <w:tcPr>
            <w:tcW w:w="5004"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КС №218</w:t>
            </w:r>
          </w:p>
        </w:tc>
      </w:tr>
      <w:tr w:rsidR="00D120E6" w:rsidTr="00D120E6">
        <w:trPr>
          <w:trHeight w:val="509"/>
        </w:trPr>
        <w:tc>
          <w:tcPr>
            <w:tcW w:w="4640" w:type="dxa"/>
            <w:gridSpan w:val="3"/>
            <w:vMerge w:val="restart"/>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Кількість відокремлених підрозділів</w:t>
            </w:r>
          </w:p>
        </w:tc>
        <w:tc>
          <w:tcPr>
            <w:tcW w:w="5004" w:type="dxa"/>
            <w:gridSpan w:val="3"/>
            <w:vMerge w:val="restart"/>
            <w:tcBorders>
              <w:top w:val="single" w:sz="4" w:space="0" w:color="auto"/>
              <w:left w:val="single" w:sz="4" w:space="0" w:color="auto"/>
              <w:bottom w:val="single" w:sz="4" w:space="0" w:color="auto"/>
              <w:right w:val="single" w:sz="4" w:space="0" w:color="auto"/>
            </w:tcBorders>
          </w:tcPr>
          <w:p w:rsidR="00D120E6" w:rsidRPr="00C269EE" w:rsidRDefault="00C269EE">
            <w:pPr>
              <w:jc w:val="left"/>
              <w:rPr>
                <w:b/>
                <w:bCs/>
                <w:i/>
                <w:iCs/>
                <w:lang w:val="en-US"/>
              </w:rPr>
            </w:pPr>
            <w:r>
              <w:rPr>
                <w:b/>
                <w:bCs/>
                <w:i/>
                <w:iCs/>
              </w:rPr>
              <w:t>два</w:t>
            </w:r>
          </w:p>
        </w:tc>
      </w:tr>
      <w:tr w:rsidR="00D120E6" w:rsidTr="00D120E6">
        <w:trPr>
          <w:trHeight w:val="509"/>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b/>
                <w:bCs/>
                <w:i/>
                <w:iC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b/>
                <w:bCs/>
                <w:i/>
                <w:iCs/>
              </w:rPr>
            </w:pPr>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center"/>
              <w:rPr>
                <w:b/>
                <w:bCs/>
                <w:i/>
                <w:iCs/>
              </w:rPr>
            </w:pPr>
            <w:r>
              <w:rPr>
                <w:b/>
                <w:bCs/>
                <w:i/>
                <w:iCs/>
              </w:rPr>
              <w:t>Ліцензії на здійснення діяльності</w:t>
            </w:r>
          </w:p>
        </w:tc>
        <w:tc>
          <w:tcPr>
            <w:tcW w:w="1500" w:type="dxa"/>
            <w:tcBorders>
              <w:top w:val="single" w:sz="4" w:space="0" w:color="auto"/>
              <w:left w:val="single" w:sz="4" w:space="0" w:color="auto"/>
              <w:bottom w:val="single" w:sz="4" w:space="0" w:color="auto"/>
              <w:right w:val="single" w:sz="4" w:space="0" w:color="auto"/>
            </w:tcBorders>
            <w:hideMark/>
          </w:tcPr>
          <w:p w:rsidR="00D120E6" w:rsidRDefault="00D120E6">
            <w:pPr>
              <w:jc w:val="center"/>
              <w:rPr>
                <w:b/>
                <w:bCs/>
                <w:i/>
                <w:iCs/>
              </w:rPr>
            </w:pPr>
            <w:r>
              <w:rPr>
                <w:b/>
                <w:bCs/>
                <w:i/>
                <w:iCs/>
              </w:rPr>
              <w:t>Серія, номер</w:t>
            </w:r>
          </w:p>
        </w:tc>
        <w:tc>
          <w:tcPr>
            <w:tcW w:w="1420" w:type="dxa"/>
            <w:tcBorders>
              <w:top w:val="single" w:sz="4" w:space="0" w:color="auto"/>
              <w:left w:val="single" w:sz="4" w:space="0" w:color="auto"/>
              <w:bottom w:val="single" w:sz="4" w:space="0" w:color="auto"/>
              <w:right w:val="single" w:sz="4" w:space="0" w:color="auto"/>
            </w:tcBorders>
            <w:hideMark/>
          </w:tcPr>
          <w:p w:rsidR="00D120E6" w:rsidRDefault="00D120E6">
            <w:pPr>
              <w:jc w:val="center"/>
              <w:rPr>
                <w:b/>
                <w:bCs/>
                <w:i/>
                <w:iCs/>
              </w:rPr>
            </w:pPr>
            <w:r>
              <w:rPr>
                <w:b/>
                <w:bCs/>
                <w:i/>
                <w:iCs/>
              </w:rPr>
              <w:t>Дата видачі</w:t>
            </w:r>
          </w:p>
        </w:tc>
        <w:tc>
          <w:tcPr>
            <w:tcW w:w="2084" w:type="dxa"/>
            <w:tcBorders>
              <w:top w:val="single" w:sz="4" w:space="0" w:color="auto"/>
              <w:left w:val="single" w:sz="4" w:space="0" w:color="auto"/>
              <w:bottom w:val="single" w:sz="4" w:space="0" w:color="auto"/>
              <w:right w:val="single" w:sz="4" w:space="0" w:color="auto"/>
            </w:tcBorders>
            <w:hideMark/>
          </w:tcPr>
          <w:p w:rsidR="00D120E6" w:rsidRDefault="00D120E6">
            <w:pPr>
              <w:jc w:val="center"/>
              <w:rPr>
                <w:b/>
                <w:bCs/>
                <w:i/>
                <w:iCs/>
              </w:rPr>
            </w:pPr>
            <w:r>
              <w:rPr>
                <w:b/>
                <w:bCs/>
                <w:i/>
                <w:iCs/>
              </w:rPr>
              <w:t>Термін дії</w:t>
            </w:r>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Ліцензія «Діяльність кредитної спілки по залученню внесків (вкладів) членів кредитної спілки на депозитні рахунки»</w:t>
            </w:r>
          </w:p>
        </w:tc>
        <w:tc>
          <w:tcPr>
            <w:tcW w:w="1500" w:type="dxa"/>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w:t>
            </w:r>
          </w:p>
        </w:tc>
        <w:tc>
          <w:tcPr>
            <w:tcW w:w="1420" w:type="dxa"/>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w:t>
            </w:r>
          </w:p>
        </w:tc>
        <w:tc>
          <w:tcPr>
            <w:tcW w:w="2084" w:type="dxa"/>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w:t>
            </w:r>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pPr>
              <w:rPr>
                <w:b/>
                <w:bCs/>
                <w:i/>
                <w:iCs/>
              </w:rPr>
            </w:pPr>
            <w:r>
              <w:rPr>
                <w:b/>
                <w:bCs/>
                <w:i/>
                <w:iCs/>
              </w:rPr>
              <w:t>Ліцензія «Діяльність КС з надання фінансових кредитів за рахунок залучених коштів, крім внесків (вкладів) членів КС на депозитні рахунки»</w:t>
            </w:r>
          </w:p>
        </w:tc>
        <w:tc>
          <w:tcPr>
            <w:tcW w:w="1500" w:type="dxa"/>
            <w:tcBorders>
              <w:top w:val="single" w:sz="4" w:space="0" w:color="auto"/>
              <w:left w:val="single" w:sz="4" w:space="0" w:color="auto"/>
              <w:bottom w:val="single" w:sz="4" w:space="0" w:color="auto"/>
              <w:right w:val="single" w:sz="4" w:space="0" w:color="auto"/>
            </w:tcBorders>
            <w:hideMark/>
          </w:tcPr>
          <w:p w:rsidR="00D120E6" w:rsidRDefault="00D120E6">
            <w:pPr>
              <w:rPr>
                <w:b/>
                <w:bCs/>
                <w:i/>
                <w:iCs/>
              </w:rPr>
            </w:pPr>
            <w:r>
              <w:rPr>
                <w:b/>
                <w:bCs/>
                <w:i/>
                <w:iCs/>
              </w:rPr>
              <w:t>-</w:t>
            </w:r>
          </w:p>
        </w:tc>
        <w:tc>
          <w:tcPr>
            <w:tcW w:w="1420" w:type="dxa"/>
            <w:tcBorders>
              <w:top w:val="single" w:sz="4" w:space="0" w:color="auto"/>
              <w:left w:val="single" w:sz="4" w:space="0" w:color="auto"/>
              <w:bottom w:val="single" w:sz="4" w:space="0" w:color="auto"/>
              <w:right w:val="single" w:sz="4" w:space="0" w:color="auto"/>
            </w:tcBorders>
            <w:hideMark/>
          </w:tcPr>
          <w:p w:rsidR="00D120E6" w:rsidRDefault="00D120E6">
            <w:pPr>
              <w:rPr>
                <w:b/>
                <w:bCs/>
                <w:i/>
                <w:iCs/>
              </w:rPr>
            </w:pPr>
            <w:r>
              <w:rPr>
                <w:b/>
                <w:bCs/>
                <w:i/>
                <w:iCs/>
              </w:rPr>
              <w:t>-</w:t>
            </w:r>
          </w:p>
        </w:tc>
        <w:tc>
          <w:tcPr>
            <w:tcW w:w="2084" w:type="dxa"/>
            <w:tcBorders>
              <w:top w:val="single" w:sz="4" w:space="0" w:color="auto"/>
              <w:left w:val="single" w:sz="4" w:space="0" w:color="auto"/>
              <w:bottom w:val="single" w:sz="4" w:space="0" w:color="auto"/>
              <w:right w:val="single" w:sz="4" w:space="0" w:color="auto"/>
            </w:tcBorders>
            <w:hideMark/>
          </w:tcPr>
          <w:p w:rsidR="00D120E6" w:rsidRDefault="00D120E6">
            <w:pPr>
              <w:rPr>
                <w:b/>
                <w:bCs/>
                <w:i/>
                <w:iCs/>
              </w:rPr>
            </w:pPr>
            <w:r>
              <w:rPr>
                <w:b/>
                <w:bCs/>
                <w:i/>
                <w:iCs/>
              </w:rPr>
              <w:t>-</w:t>
            </w:r>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rsidP="001C78AD">
            <w:pPr>
              <w:jc w:val="left"/>
              <w:rPr>
                <w:b/>
                <w:bCs/>
                <w:i/>
                <w:iCs/>
              </w:rPr>
            </w:pPr>
            <w:r>
              <w:rPr>
                <w:b/>
                <w:bCs/>
                <w:i/>
                <w:iCs/>
              </w:rPr>
              <w:t>Кількість працівників станом на 31.12.201</w:t>
            </w:r>
            <w:r w:rsidR="001C78AD" w:rsidRPr="001C78AD">
              <w:rPr>
                <w:b/>
                <w:bCs/>
                <w:i/>
                <w:iCs/>
                <w:lang w:val="ru-RU"/>
              </w:rPr>
              <w:t>6</w:t>
            </w:r>
            <w:r>
              <w:rPr>
                <w:b/>
                <w:bCs/>
                <w:i/>
                <w:iCs/>
              </w:rPr>
              <w:t>р.</w:t>
            </w:r>
          </w:p>
        </w:tc>
        <w:tc>
          <w:tcPr>
            <w:tcW w:w="5004" w:type="dxa"/>
            <w:gridSpan w:val="3"/>
            <w:tcBorders>
              <w:top w:val="single" w:sz="4" w:space="0" w:color="auto"/>
              <w:left w:val="single" w:sz="4" w:space="0" w:color="auto"/>
              <w:bottom w:val="single" w:sz="4" w:space="0" w:color="auto"/>
              <w:right w:val="single" w:sz="4" w:space="0" w:color="auto"/>
            </w:tcBorders>
          </w:tcPr>
          <w:p w:rsidR="00D120E6" w:rsidRPr="009A79E8" w:rsidRDefault="009A79E8">
            <w:pPr>
              <w:jc w:val="left"/>
              <w:rPr>
                <w:b/>
                <w:bCs/>
                <w:i/>
                <w:iCs/>
              </w:rPr>
            </w:pPr>
            <w:r>
              <w:rPr>
                <w:b/>
                <w:bCs/>
                <w:i/>
                <w:iCs/>
              </w:rPr>
              <w:t>1</w:t>
            </w:r>
            <w:r>
              <w:rPr>
                <w:b/>
                <w:bCs/>
                <w:i/>
                <w:iCs/>
                <w:lang w:val="en-US"/>
              </w:rPr>
              <w:t>1</w:t>
            </w:r>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Голова правління</w:t>
            </w:r>
          </w:p>
        </w:tc>
        <w:tc>
          <w:tcPr>
            <w:tcW w:w="5004"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proofErr w:type="spellStart"/>
            <w:r>
              <w:rPr>
                <w:b/>
                <w:bCs/>
                <w:i/>
                <w:iCs/>
              </w:rPr>
              <w:t>Зілгалова</w:t>
            </w:r>
            <w:proofErr w:type="spellEnd"/>
            <w:r>
              <w:rPr>
                <w:b/>
                <w:bCs/>
                <w:i/>
                <w:iCs/>
              </w:rPr>
              <w:t xml:space="preserve"> Марія Михайлівна</w:t>
            </w:r>
          </w:p>
        </w:tc>
      </w:tr>
      <w:tr w:rsidR="00D120E6" w:rsidTr="00D120E6">
        <w:trPr>
          <w:trHeight w:val="315"/>
        </w:trPr>
        <w:tc>
          <w:tcPr>
            <w:tcW w:w="4640"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Головний бухгалтер</w:t>
            </w:r>
          </w:p>
        </w:tc>
        <w:tc>
          <w:tcPr>
            <w:tcW w:w="5004" w:type="dxa"/>
            <w:gridSpan w:val="3"/>
            <w:tcBorders>
              <w:top w:val="single" w:sz="4" w:space="0" w:color="auto"/>
              <w:left w:val="single" w:sz="4" w:space="0" w:color="auto"/>
              <w:bottom w:val="single" w:sz="4" w:space="0" w:color="auto"/>
              <w:right w:val="single" w:sz="4" w:space="0" w:color="auto"/>
            </w:tcBorders>
          </w:tcPr>
          <w:p w:rsidR="00D120E6" w:rsidRDefault="009A79E8">
            <w:pPr>
              <w:jc w:val="left"/>
              <w:rPr>
                <w:b/>
                <w:bCs/>
                <w:i/>
                <w:iCs/>
              </w:rPr>
            </w:pPr>
            <w:proofErr w:type="spellStart"/>
            <w:r>
              <w:rPr>
                <w:b/>
                <w:bCs/>
                <w:i/>
                <w:iCs/>
              </w:rPr>
              <w:t>Булеца</w:t>
            </w:r>
            <w:proofErr w:type="spellEnd"/>
            <w:r>
              <w:rPr>
                <w:b/>
                <w:bCs/>
                <w:i/>
                <w:iCs/>
              </w:rPr>
              <w:t xml:space="preserve"> Людмила Володимирівна</w:t>
            </w:r>
          </w:p>
        </w:tc>
      </w:tr>
      <w:tr w:rsidR="00D120E6" w:rsidTr="00D120E6">
        <w:trPr>
          <w:trHeight w:val="315"/>
        </w:trPr>
        <w:tc>
          <w:tcPr>
            <w:tcW w:w="9644" w:type="dxa"/>
            <w:gridSpan w:val="6"/>
            <w:tcBorders>
              <w:top w:val="single" w:sz="4" w:space="0" w:color="auto"/>
              <w:left w:val="single" w:sz="4" w:space="0" w:color="auto"/>
              <w:bottom w:val="single" w:sz="4" w:space="0" w:color="auto"/>
              <w:right w:val="single" w:sz="4" w:space="0" w:color="auto"/>
            </w:tcBorders>
            <w:hideMark/>
          </w:tcPr>
          <w:p w:rsidR="00D120E6" w:rsidRDefault="00D120E6" w:rsidP="00D81C48">
            <w:pPr>
              <w:ind w:firstLineChars="200" w:firstLine="482"/>
              <w:jc w:val="left"/>
              <w:rPr>
                <w:b/>
                <w:bCs/>
                <w:i/>
                <w:iCs/>
              </w:rPr>
            </w:pPr>
            <w:r>
              <w:rPr>
                <w:b/>
                <w:bCs/>
                <w:i/>
                <w:iCs/>
              </w:rPr>
              <w:t>Банківські реквізити :</w:t>
            </w:r>
          </w:p>
        </w:tc>
      </w:tr>
      <w:tr w:rsidR="00D120E6" w:rsidTr="00D120E6">
        <w:trPr>
          <w:trHeight w:val="315"/>
        </w:trPr>
        <w:tc>
          <w:tcPr>
            <w:tcW w:w="1800" w:type="dxa"/>
            <w:tcBorders>
              <w:top w:val="single" w:sz="4" w:space="0" w:color="auto"/>
              <w:left w:val="single" w:sz="4" w:space="0" w:color="auto"/>
              <w:bottom w:val="single" w:sz="4" w:space="0" w:color="auto"/>
              <w:right w:val="single" w:sz="4" w:space="0" w:color="auto"/>
            </w:tcBorders>
            <w:hideMark/>
          </w:tcPr>
          <w:p w:rsidR="00D120E6" w:rsidRDefault="00D120E6">
            <w:pPr>
              <w:rPr>
                <w:b/>
                <w:bCs/>
                <w:i/>
                <w:iCs/>
              </w:rPr>
            </w:pPr>
            <w:r>
              <w:rPr>
                <w:b/>
                <w:bCs/>
                <w:i/>
                <w:iCs/>
              </w:rPr>
              <w:t>№ р/р</w:t>
            </w:r>
          </w:p>
        </w:tc>
        <w:tc>
          <w:tcPr>
            <w:tcW w:w="1060" w:type="dxa"/>
            <w:tcBorders>
              <w:top w:val="single" w:sz="4" w:space="0" w:color="auto"/>
              <w:left w:val="single" w:sz="4" w:space="0" w:color="auto"/>
              <w:bottom w:val="single" w:sz="4" w:space="0" w:color="auto"/>
              <w:right w:val="single" w:sz="4" w:space="0" w:color="auto"/>
            </w:tcBorders>
            <w:hideMark/>
          </w:tcPr>
          <w:p w:rsidR="00D120E6" w:rsidRDefault="00D120E6">
            <w:pPr>
              <w:rPr>
                <w:b/>
                <w:bCs/>
                <w:i/>
                <w:iCs/>
              </w:rPr>
            </w:pPr>
            <w:r>
              <w:rPr>
                <w:b/>
                <w:bCs/>
                <w:i/>
                <w:iCs/>
              </w:rPr>
              <w:t>МФО</w:t>
            </w:r>
          </w:p>
        </w:tc>
        <w:tc>
          <w:tcPr>
            <w:tcW w:w="4700" w:type="dxa"/>
            <w:gridSpan w:val="3"/>
            <w:tcBorders>
              <w:top w:val="single" w:sz="4" w:space="0" w:color="auto"/>
              <w:left w:val="single" w:sz="4" w:space="0" w:color="auto"/>
              <w:bottom w:val="single" w:sz="4" w:space="0" w:color="auto"/>
              <w:right w:val="single" w:sz="4" w:space="0" w:color="auto"/>
            </w:tcBorders>
            <w:hideMark/>
          </w:tcPr>
          <w:p w:rsidR="00D120E6" w:rsidRDefault="00D120E6">
            <w:pPr>
              <w:rPr>
                <w:b/>
                <w:bCs/>
                <w:i/>
                <w:iCs/>
              </w:rPr>
            </w:pPr>
            <w:r>
              <w:rPr>
                <w:b/>
                <w:bCs/>
                <w:i/>
                <w:iCs/>
              </w:rPr>
              <w:t>Назва банку</w:t>
            </w:r>
          </w:p>
        </w:tc>
        <w:tc>
          <w:tcPr>
            <w:tcW w:w="2084" w:type="dxa"/>
            <w:tcBorders>
              <w:top w:val="single" w:sz="4" w:space="0" w:color="auto"/>
              <w:left w:val="single" w:sz="4" w:space="0" w:color="auto"/>
              <w:bottom w:val="single" w:sz="4" w:space="0" w:color="auto"/>
              <w:right w:val="single" w:sz="4" w:space="0" w:color="auto"/>
            </w:tcBorders>
            <w:hideMark/>
          </w:tcPr>
          <w:p w:rsidR="00D120E6" w:rsidRDefault="00D120E6">
            <w:pPr>
              <w:rPr>
                <w:b/>
                <w:bCs/>
                <w:i/>
                <w:iCs/>
              </w:rPr>
            </w:pPr>
            <w:r>
              <w:rPr>
                <w:b/>
                <w:bCs/>
                <w:i/>
                <w:iCs/>
              </w:rPr>
              <w:t>Місто</w:t>
            </w:r>
          </w:p>
        </w:tc>
      </w:tr>
      <w:tr w:rsidR="00D120E6" w:rsidTr="00D120E6">
        <w:trPr>
          <w:trHeight w:val="315"/>
        </w:trPr>
        <w:tc>
          <w:tcPr>
            <w:tcW w:w="1800" w:type="dxa"/>
            <w:tcBorders>
              <w:top w:val="single" w:sz="4" w:space="0" w:color="auto"/>
              <w:left w:val="single" w:sz="4" w:space="0" w:color="auto"/>
              <w:bottom w:val="single" w:sz="4" w:space="0" w:color="auto"/>
              <w:right w:val="single" w:sz="4" w:space="0" w:color="auto"/>
            </w:tcBorders>
          </w:tcPr>
          <w:p w:rsidR="00D120E6" w:rsidRDefault="00234198">
            <w:pPr>
              <w:rPr>
                <w:b/>
                <w:bCs/>
                <w:i/>
                <w:iCs/>
              </w:rPr>
            </w:pPr>
            <w:r>
              <w:rPr>
                <w:b/>
                <w:bCs/>
                <w:i/>
                <w:iCs/>
              </w:rPr>
              <w:t>26506055860000</w:t>
            </w:r>
          </w:p>
        </w:tc>
        <w:tc>
          <w:tcPr>
            <w:tcW w:w="1060" w:type="dxa"/>
            <w:tcBorders>
              <w:top w:val="single" w:sz="4" w:space="0" w:color="auto"/>
              <w:left w:val="single" w:sz="4" w:space="0" w:color="auto"/>
              <w:bottom w:val="single" w:sz="4" w:space="0" w:color="auto"/>
              <w:right w:val="single" w:sz="4" w:space="0" w:color="auto"/>
            </w:tcBorders>
          </w:tcPr>
          <w:p w:rsidR="00D120E6" w:rsidRDefault="00234198">
            <w:pPr>
              <w:rPr>
                <w:b/>
                <w:bCs/>
                <w:i/>
                <w:iCs/>
              </w:rPr>
            </w:pPr>
            <w:r>
              <w:rPr>
                <w:b/>
                <w:bCs/>
                <w:i/>
                <w:iCs/>
              </w:rPr>
              <w:t>351005</w:t>
            </w:r>
          </w:p>
        </w:tc>
        <w:tc>
          <w:tcPr>
            <w:tcW w:w="4700" w:type="dxa"/>
            <w:gridSpan w:val="3"/>
            <w:tcBorders>
              <w:top w:val="single" w:sz="4" w:space="0" w:color="auto"/>
              <w:left w:val="single" w:sz="4" w:space="0" w:color="auto"/>
              <w:bottom w:val="single" w:sz="4" w:space="0" w:color="auto"/>
              <w:right w:val="single" w:sz="4" w:space="0" w:color="auto"/>
            </w:tcBorders>
          </w:tcPr>
          <w:p w:rsidR="00D120E6" w:rsidRDefault="00234198">
            <w:pPr>
              <w:rPr>
                <w:b/>
                <w:bCs/>
                <w:i/>
                <w:iCs/>
              </w:rPr>
            </w:pPr>
            <w:r>
              <w:rPr>
                <w:b/>
                <w:bCs/>
                <w:i/>
                <w:iCs/>
              </w:rPr>
              <w:t xml:space="preserve"> АТ  </w:t>
            </w:r>
            <w:proofErr w:type="spellStart"/>
            <w:r>
              <w:rPr>
                <w:b/>
                <w:bCs/>
                <w:i/>
                <w:iCs/>
              </w:rPr>
              <w:t>Укрсиббанк</w:t>
            </w:r>
            <w:proofErr w:type="spellEnd"/>
          </w:p>
        </w:tc>
        <w:tc>
          <w:tcPr>
            <w:tcW w:w="2084" w:type="dxa"/>
            <w:tcBorders>
              <w:top w:val="single" w:sz="4" w:space="0" w:color="auto"/>
              <w:left w:val="single" w:sz="4" w:space="0" w:color="auto"/>
              <w:bottom w:val="single" w:sz="4" w:space="0" w:color="auto"/>
              <w:right w:val="single" w:sz="4" w:space="0" w:color="auto"/>
            </w:tcBorders>
          </w:tcPr>
          <w:p w:rsidR="00D120E6" w:rsidRDefault="00234198">
            <w:pPr>
              <w:rPr>
                <w:b/>
                <w:bCs/>
                <w:i/>
                <w:iCs/>
              </w:rPr>
            </w:pPr>
            <w:r>
              <w:rPr>
                <w:b/>
                <w:bCs/>
                <w:i/>
                <w:iCs/>
              </w:rPr>
              <w:t>Харків</w:t>
            </w:r>
          </w:p>
        </w:tc>
      </w:tr>
    </w:tbl>
    <w:p w:rsidR="00D120E6" w:rsidRDefault="00D120E6" w:rsidP="00D120E6">
      <w:pPr>
        <w:rPr>
          <w:szCs w:val="23"/>
        </w:rPr>
      </w:pPr>
    </w:p>
    <w:p w:rsidR="00D120E6" w:rsidRDefault="00D120E6" w:rsidP="00D120E6">
      <w:pPr>
        <w:rPr>
          <w:b/>
        </w:rPr>
      </w:pPr>
      <w:r>
        <w:rPr>
          <w:b/>
        </w:rPr>
        <w:t xml:space="preserve">Назва вищого органу управління </w:t>
      </w:r>
    </w:p>
    <w:p w:rsidR="00D120E6" w:rsidRDefault="00D120E6" w:rsidP="00D120E6">
      <w:pPr>
        <w:rPr>
          <w:szCs w:val="23"/>
        </w:rPr>
      </w:pPr>
      <w:r>
        <w:rPr>
          <w:szCs w:val="23"/>
        </w:rPr>
        <w:t>Загальні збори членів Кредитної спілки.</w:t>
      </w:r>
    </w:p>
    <w:p w:rsidR="00D120E6" w:rsidRDefault="00D120E6" w:rsidP="00D120E6">
      <w:pPr>
        <w:rPr>
          <w:sz w:val="14"/>
        </w:rPr>
      </w:pPr>
    </w:p>
    <w:p w:rsidR="00D120E6" w:rsidRDefault="00D120E6" w:rsidP="00D120E6">
      <w:pPr>
        <w:rPr>
          <w:b/>
        </w:rPr>
      </w:pPr>
      <w:r>
        <w:rPr>
          <w:b/>
        </w:rPr>
        <w:t>Найменування материнської компанії</w:t>
      </w:r>
    </w:p>
    <w:p w:rsidR="00D120E6" w:rsidRDefault="00D120E6" w:rsidP="00D120E6">
      <w:pPr>
        <w:rPr>
          <w:szCs w:val="23"/>
        </w:rPr>
      </w:pPr>
      <w:r>
        <w:rPr>
          <w:szCs w:val="23"/>
        </w:rPr>
        <w:t>Кредитна спілка є самостійним суб’єктом.</w:t>
      </w:r>
    </w:p>
    <w:p w:rsidR="00D120E6" w:rsidRDefault="00D120E6" w:rsidP="00D120E6">
      <w:pPr>
        <w:spacing w:after="120"/>
        <w:rPr>
          <w:b/>
          <w:i/>
          <w:spacing w:val="6"/>
          <w:sz w:val="28"/>
          <w:szCs w:val="28"/>
        </w:rPr>
      </w:pPr>
    </w:p>
    <w:p w:rsidR="00D120E6" w:rsidRDefault="00D120E6" w:rsidP="00D120E6">
      <w:pPr>
        <w:spacing w:after="120"/>
        <w:rPr>
          <w:spacing w:val="6"/>
        </w:rPr>
      </w:pPr>
      <w:r>
        <w:rPr>
          <w:b/>
          <w:spacing w:val="6"/>
        </w:rPr>
        <w:t>Види діяльності Кредитної спілки</w:t>
      </w:r>
    </w:p>
    <w:p w:rsidR="00D120E6" w:rsidRPr="0053603F" w:rsidRDefault="00D120E6" w:rsidP="00D120E6">
      <w:pPr>
        <w:widowControl w:val="0"/>
        <w:autoSpaceDE w:val="0"/>
        <w:autoSpaceDN w:val="0"/>
        <w:adjustRightInd w:val="0"/>
        <w:spacing w:line="244" w:lineRule="auto"/>
        <w:ind w:firstLine="720"/>
      </w:pPr>
      <w:r w:rsidRPr="0053603F">
        <w:t>Відповідно до свого Статуту Кредитна Спілка здійснює наступні види діяльності:</w:t>
      </w:r>
    </w:p>
    <w:p w:rsidR="00D120E6" w:rsidRPr="0053603F" w:rsidRDefault="00D120E6" w:rsidP="00D120E6">
      <w:pPr>
        <w:numPr>
          <w:ilvl w:val="0"/>
          <w:numId w:val="3"/>
        </w:numPr>
        <w:spacing w:line="244" w:lineRule="auto"/>
        <w:ind w:left="426" w:right="180" w:hanging="284"/>
      </w:pPr>
      <w:r w:rsidRPr="0053603F">
        <w:t>приймає вступні та обов'язкові пайові та інші внески від членів спілки;</w:t>
      </w:r>
    </w:p>
    <w:p w:rsidR="00D120E6" w:rsidRPr="0053603F" w:rsidRDefault="00D120E6" w:rsidP="00D120E6">
      <w:pPr>
        <w:numPr>
          <w:ilvl w:val="0"/>
          <w:numId w:val="3"/>
        </w:numPr>
        <w:spacing w:line="244" w:lineRule="auto"/>
        <w:ind w:left="426" w:right="180" w:hanging="284"/>
      </w:pPr>
      <w:r w:rsidRPr="0053603F">
        <w:lastRenderedPageBreak/>
        <w:t>надає кредити своїм членам на умовах їх платності, строковості та забезпеченості в готівковій та безготівковій формі. Отримувати кредити від імені членів кредитної спілки можуть також фермерські господарства та приватні підприємства, які знаходяться у їх власності. Розмір кредиту, наданого одному члену кредитної спілки, не може перевищувати 20 відсотків від капіталу кредитної спілки;</w:t>
      </w:r>
    </w:p>
    <w:p w:rsidR="00D120E6" w:rsidRPr="0053603F" w:rsidRDefault="00D120E6" w:rsidP="00D120E6">
      <w:pPr>
        <w:numPr>
          <w:ilvl w:val="0"/>
          <w:numId w:val="3"/>
        </w:numPr>
        <w:spacing w:line="244" w:lineRule="auto"/>
        <w:ind w:left="426" w:right="180" w:hanging="284"/>
      </w:pPr>
      <w:r w:rsidRPr="0053603F">
        <w:t>залучає на договірних умовах внески (вклади) своїх членів на депозитні рахунки як у готівковій, так і в безготівковій формі. Зобов'язання кредитної спілки перед одним своїм членом не можуть бути більше 10 відсотків від загальних зобов'язань кредитної спілки;</w:t>
      </w:r>
    </w:p>
    <w:p w:rsidR="00D120E6" w:rsidRPr="0053603F" w:rsidRDefault="00D120E6" w:rsidP="00D120E6">
      <w:pPr>
        <w:numPr>
          <w:ilvl w:val="0"/>
          <w:numId w:val="3"/>
        </w:numPr>
        <w:spacing w:line="244" w:lineRule="auto"/>
        <w:ind w:left="426" w:right="180" w:hanging="284"/>
      </w:pPr>
      <w:r w:rsidRPr="0053603F">
        <w:t>виступає поручителем виконання членом спілки зобов'язань перед третіми особами;</w:t>
      </w:r>
    </w:p>
    <w:p w:rsidR="00D120E6" w:rsidRPr="0053603F" w:rsidRDefault="00D120E6" w:rsidP="00D120E6">
      <w:pPr>
        <w:numPr>
          <w:ilvl w:val="0"/>
          <w:numId w:val="3"/>
        </w:numPr>
        <w:spacing w:line="244" w:lineRule="auto"/>
        <w:ind w:left="426" w:right="180" w:hanging="284"/>
      </w:pPr>
      <w:r w:rsidRPr="0053603F">
        <w:t>у разі участі в об'єднаній кредитній спілці сплачує вступні, пайові та інші внески до об'єднаної кредитної спілки;</w:t>
      </w:r>
    </w:p>
    <w:p w:rsidR="00D120E6" w:rsidRPr="0053603F" w:rsidRDefault="00D120E6" w:rsidP="00D120E6">
      <w:pPr>
        <w:numPr>
          <w:ilvl w:val="0"/>
          <w:numId w:val="3"/>
        </w:numPr>
        <w:spacing w:line="244" w:lineRule="auto"/>
        <w:ind w:left="426" w:right="180" w:hanging="284"/>
      </w:pPr>
      <w:r w:rsidRPr="0053603F">
        <w:t xml:space="preserve">розміщує тимчасово вільні кошти на депозитних рахунках в установах банків, які мають ліцензію на право роботи з вкладами громадян, об'єднаній кредитній спілці, а також придбаває державні цінні папери, перелік яких установлюється Національною комісією, що здійснює державне регулювання у сфері ринків фінансових послуг (далі - </w:t>
      </w:r>
      <w:proofErr w:type="spellStart"/>
      <w:r w:rsidRPr="0053603F">
        <w:t>Нацкомфінпослуг</w:t>
      </w:r>
      <w:proofErr w:type="spellEnd"/>
      <w:r w:rsidRPr="0053603F">
        <w:t>), та паї кооперативних банків;</w:t>
      </w:r>
    </w:p>
    <w:p w:rsidR="00D120E6" w:rsidRPr="0053603F" w:rsidRDefault="00D120E6" w:rsidP="00D120E6">
      <w:pPr>
        <w:numPr>
          <w:ilvl w:val="0"/>
          <w:numId w:val="3"/>
        </w:numPr>
        <w:spacing w:line="244" w:lineRule="auto"/>
        <w:ind w:left="426" w:right="180" w:hanging="284"/>
      </w:pPr>
      <w:r w:rsidRPr="0053603F">
        <w:t xml:space="preserve">залучає на договірних умовах кредити банків, кредити об'єднаної кредитної спілки, кошти інших установ та організацій виключно для надання кредитів своїм членам, якщо інше не встановлено рішенням </w:t>
      </w:r>
      <w:proofErr w:type="spellStart"/>
      <w:r w:rsidRPr="0053603F">
        <w:t>Нацкомфінпослуг</w:t>
      </w:r>
      <w:proofErr w:type="spellEnd"/>
      <w:r w:rsidRPr="0053603F">
        <w:t>. Загальна сума залучених коштів, у тому числі кредитів, не може перевищувати 50 відсотків вартості загальних зобов'язань та капіталу кредитної спілки на момент залучення;</w:t>
      </w:r>
    </w:p>
    <w:p w:rsidR="00D120E6" w:rsidRPr="0053603F" w:rsidRDefault="00D120E6" w:rsidP="00D120E6">
      <w:pPr>
        <w:numPr>
          <w:ilvl w:val="0"/>
          <w:numId w:val="3"/>
        </w:numPr>
        <w:spacing w:line="244" w:lineRule="auto"/>
        <w:ind w:left="426" w:right="180" w:hanging="284"/>
      </w:pPr>
      <w:r w:rsidRPr="0053603F">
        <w:t xml:space="preserve">надає кредити іншим кредитним спілкам, якщо інше не встановлено рішенням </w:t>
      </w:r>
      <w:proofErr w:type="spellStart"/>
      <w:r w:rsidRPr="0053603F">
        <w:t>Нацкомфінпослуг</w:t>
      </w:r>
      <w:proofErr w:type="spellEnd"/>
      <w:r w:rsidRPr="0053603F">
        <w:t>;</w:t>
      </w:r>
    </w:p>
    <w:p w:rsidR="00D120E6" w:rsidRPr="0053603F" w:rsidRDefault="00D120E6" w:rsidP="00D120E6">
      <w:pPr>
        <w:numPr>
          <w:ilvl w:val="0"/>
          <w:numId w:val="3"/>
        </w:numPr>
        <w:spacing w:line="244" w:lineRule="auto"/>
        <w:ind w:left="426" w:right="180" w:hanging="284"/>
      </w:pPr>
      <w:r w:rsidRPr="0053603F">
        <w:t>виступає членом платіжних систем, зокрема здійснює переказ коштів;</w:t>
      </w:r>
    </w:p>
    <w:p w:rsidR="00D120E6" w:rsidRPr="0053603F" w:rsidRDefault="00D120E6" w:rsidP="00D120E6">
      <w:pPr>
        <w:numPr>
          <w:ilvl w:val="0"/>
          <w:numId w:val="3"/>
        </w:numPr>
        <w:spacing w:line="244" w:lineRule="auto"/>
        <w:ind w:left="426" w:right="180" w:hanging="284"/>
      </w:pPr>
      <w:r w:rsidRPr="0053603F">
        <w:t>оплачує за дорученням своїх членів вартість товарів, робіт і послуг у межах наданих їм кредитів;</w:t>
      </w:r>
    </w:p>
    <w:p w:rsidR="00D120E6" w:rsidRPr="00C269EE" w:rsidRDefault="00D120E6" w:rsidP="00D120E6">
      <w:pPr>
        <w:widowControl w:val="0"/>
        <w:numPr>
          <w:ilvl w:val="0"/>
          <w:numId w:val="3"/>
        </w:numPr>
        <w:autoSpaceDE w:val="0"/>
        <w:autoSpaceDN w:val="0"/>
        <w:adjustRightInd w:val="0"/>
        <w:spacing w:line="244" w:lineRule="auto"/>
        <w:ind w:left="426" w:right="180" w:hanging="284"/>
        <w:rPr>
          <w:b/>
          <w:bCs/>
          <w:i/>
          <w:iCs/>
        </w:rPr>
      </w:pPr>
      <w:r w:rsidRPr="0053603F">
        <w:t>провадить благодійну діяльність за рахунок коштів спеціально створених для цього фондів.</w:t>
      </w:r>
    </w:p>
    <w:p w:rsidR="00D120E6" w:rsidRDefault="00D120E6" w:rsidP="00D120E6">
      <w:pPr>
        <w:rPr>
          <w:b/>
        </w:rPr>
      </w:pPr>
      <w:r>
        <w:rPr>
          <w:b/>
        </w:rPr>
        <w:t>Органи управління та контролю</w:t>
      </w:r>
    </w:p>
    <w:p w:rsidR="00C269EE" w:rsidRDefault="00D120E6" w:rsidP="00C269EE">
      <w:pPr>
        <w:spacing w:before="120"/>
        <w:rPr>
          <w:spacing w:val="6"/>
        </w:rPr>
      </w:pPr>
      <w:r>
        <w:rPr>
          <w:color w:val="000000"/>
        </w:rPr>
        <w:t>Органами управління кредитної спілки є</w:t>
      </w:r>
      <w:r>
        <w:rPr>
          <w:b/>
          <w:color w:val="000000"/>
        </w:rPr>
        <w:t xml:space="preserve"> </w:t>
      </w:r>
      <w:r>
        <w:t>загальні збори</w:t>
      </w:r>
      <w:r>
        <w:rPr>
          <w:b/>
          <w:color w:val="000000"/>
        </w:rPr>
        <w:t xml:space="preserve">, </w:t>
      </w:r>
      <w:r>
        <w:t xml:space="preserve">спостережна рада, ревізійна комісія, кредитний комітет, правління. </w:t>
      </w:r>
      <w:r>
        <w:rPr>
          <w:spacing w:val="6"/>
        </w:rPr>
        <w:t xml:space="preserve">Виконавчим органом є правління кредитної спілки, яке здійснює управління поточною діяльністю кредитної спілки. </w:t>
      </w:r>
      <w:r>
        <w:t xml:space="preserve">Правління вирішує всі питання діяльності кредитної спілки, крім тих, що належать до компетенції загальних зборів, спостережної ради та кредитного комітету. </w:t>
      </w:r>
      <w:r>
        <w:rPr>
          <w:spacing w:val="6"/>
        </w:rPr>
        <w:t>Правління кредитної спілки очолює Голова правління.</w:t>
      </w:r>
      <w:r>
        <w:t xml:space="preserve"> </w:t>
      </w:r>
      <w:r>
        <w:rPr>
          <w:spacing w:val="6"/>
        </w:rPr>
        <w:t>Нагляд за діяльністю правління здійснює спостережна рада кредитної спілки, члени якої обираються загальними зборами членів кредитної спілки у відпові</w:t>
      </w:r>
      <w:r w:rsidR="00C269EE">
        <w:rPr>
          <w:spacing w:val="6"/>
        </w:rPr>
        <w:t>дності до чинного законодавства</w:t>
      </w:r>
    </w:p>
    <w:p w:rsidR="00C269EE" w:rsidRDefault="00D120E6" w:rsidP="00C269EE">
      <w:pPr>
        <w:spacing w:before="120"/>
        <w:jc w:val="center"/>
        <w:rPr>
          <w:b/>
          <w:noProof/>
        </w:rPr>
      </w:pPr>
      <w:r>
        <w:rPr>
          <w:b/>
        </w:rPr>
        <w:t>Інформація щодо діяльності кредитної спілки через відокремлені підрозділи</w:t>
      </w:r>
    </w:p>
    <w:p w:rsidR="00D120E6" w:rsidRDefault="00D120E6" w:rsidP="00D120E6">
      <w:pPr>
        <w:pStyle w:val="afff2"/>
        <w:spacing w:before="0" w:after="0" w:line="240" w:lineRule="auto"/>
        <w:ind w:left="0"/>
        <w:rPr>
          <w:color w:val="auto"/>
          <w:sz w:val="24"/>
          <w:lang w:eastAsia="ru-RU"/>
        </w:rPr>
      </w:pPr>
      <w:r>
        <w:rPr>
          <w:color w:val="auto"/>
          <w:sz w:val="24"/>
          <w:lang w:eastAsia="ru-RU"/>
        </w:rPr>
        <w:t>Кредитна спілка</w:t>
      </w:r>
      <w:r w:rsidR="00C269EE">
        <w:rPr>
          <w:color w:val="auto"/>
          <w:sz w:val="24"/>
          <w:lang w:eastAsia="ru-RU"/>
        </w:rPr>
        <w:t xml:space="preserve"> має зареєстровані два відокремлених підрозділи у Головному управлінні статистики у Закарпатській області. Свалявську філію №1 кредитної спілки та </w:t>
      </w:r>
      <w:proofErr w:type="spellStart"/>
      <w:r w:rsidR="00C269EE">
        <w:rPr>
          <w:color w:val="auto"/>
          <w:sz w:val="24"/>
          <w:lang w:eastAsia="ru-RU"/>
        </w:rPr>
        <w:t>Іршавську</w:t>
      </w:r>
      <w:proofErr w:type="spellEnd"/>
      <w:r w:rsidR="00C269EE">
        <w:rPr>
          <w:color w:val="auto"/>
          <w:sz w:val="24"/>
          <w:lang w:eastAsia="ru-RU"/>
        </w:rPr>
        <w:t xml:space="preserve"> філію №2 кредитної спілки, які з моменту реєстрації по теперішній час діяльності не здійснювали.</w:t>
      </w:r>
    </w:p>
    <w:p w:rsidR="00D120E6" w:rsidRDefault="00D120E6" w:rsidP="00D120E6">
      <w:pPr>
        <w:pStyle w:val="afff2"/>
        <w:spacing w:before="0" w:after="0" w:line="240" w:lineRule="auto"/>
        <w:ind w:left="0"/>
        <w:rPr>
          <w:b/>
          <w:i/>
          <w:color w:val="auto"/>
          <w:sz w:val="26"/>
          <w:szCs w:val="26"/>
          <w:lang w:eastAsia="ru-RU"/>
        </w:rPr>
      </w:pPr>
    </w:p>
    <w:p w:rsidR="00D120E6" w:rsidRPr="00C269EE" w:rsidRDefault="00D120E6" w:rsidP="00D120E6">
      <w:pPr>
        <w:pStyle w:val="a0"/>
        <w:jc w:val="center"/>
        <w:rPr>
          <w:rStyle w:val="a7"/>
          <w:rFonts w:ascii="Calibri" w:hAnsi="Calibri"/>
          <w:sz w:val="26"/>
          <w:szCs w:val="26"/>
        </w:rPr>
      </w:pPr>
      <w:bookmarkStart w:id="0" w:name="_Toc385338087"/>
      <w:r>
        <w:t>Основа</w:t>
      </w:r>
      <w:r w:rsidRPr="00C269EE">
        <w:rPr>
          <w:rStyle w:val="a7"/>
          <w:b w:val="0"/>
          <w:bCs w:val="0"/>
        </w:rPr>
        <w:t xml:space="preserve"> складання фінансової звітності.</w:t>
      </w:r>
      <w:bookmarkEnd w:id="0"/>
    </w:p>
    <w:p w:rsidR="00D120E6" w:rsidRDefault="00D120E6" w:rsidP="00D120E6">
      <w:pPr>
        <w:ind w:firstLine="709"/>
        <w:rPr>
          <w:b/>
          <w:szCs w:val="23"/>
        </w:rPr>
      </w:pPr>
      <w:r>
        <w:rPr>
          <w:b/>
          <w:szCs w:val="23"/>
        </w:rPr>
        <w:t>Загальна інформація</w:t>
      </w:r>
    </w:p>
    <w:p w:rsidR="00C269EE" w:rsidRDefault="00C269EE" w:rsidP="00D120E6">
      <w:pPr>
        <w:ind w:firstLine="709"/>
        <w:rPr>
          <w:b/>
          <w:szCs w:val="23"/>
        </w:rPr>
      </w:pPr>
      <w:bookmarkStart w:id="1" w:name="_GoBack"/>
      <w:bookmarkEnd w:id="1"/>
    </w:p>
    <w:p w:rsidR="00C269EE" w:rsidRDefault="00C269EE" w:rsidP="00D120E6">
      <w:pPr>
        <w:ind w:firstLine="709"/>
        <w:rPr>
          <w:szCs w:val="23"/>
        </w:rPr>
      </w:pPr>
    </w:p>
    <w:p w:rsidR="00D120E6" w:rsidRDefault="00D120E6" w:rsidP="00D120E6">
      <w:pPr>
        <w:ind w:firstLine="709"/>
        <w:rPr>
          <w:sz w:val="23"/>
          <w:szCs w:val="23"/>
        </w:rPr>
      </w:pPr>
      <w:r>
        <w:rPr>
          <w:szCs w:val="23"/>
        </w:rPr>
        <w:t xml:space="preserve">У </w:t>
      </w:r>
      <w:r w:rsidR="009A79E8">
        <w:rPr>
          <w:szCs w:val="23"/>
        </w:rPr>
        <w:t>своїй обліковій політиці на 2016</w:t>
      </w:r>
      <w:r>
        <w:rPr>
          <w:szCs w:val="23"/>
        </w:rPr>
        <w:t xml:space="preserve"> рік кредитна спілка керується принципами бухгалтерського обліку, які базуються на чинному законодавстві України, нормативно-правових актах Національної комісії, що здійснює регулювання ринків фінансових послуг,  Міжнародних стандартах фінансової звітності та тлумаченнях. </w:t>
      </w:r>
    </w:p>
    <w:p w:rsidR="00D120E6" w:rsidRDefault="00D120E6" w:rsidP="00D120E6">
      <w:pPr>
        <w:ind w:firstLine="709"/>
      </w:pPr>
      <w:r>
        <w:rPr>
          <w:szCs w:val="23"/>
        </w:rPr>
        <w:t xml:space="preserve">Датою переходу на Міжнародні стандарти фінансової звітності визначено 1 січня 2015 року, відповідно до Постанови Кабінету Міністрів України №419 від 28.02.2000 р. зі змінами та доповненнями та із врахуванням рекомендацій, визначених </w:t>
      </w:r>
      <w:r>
        <w:t xml:space="preserve">спільним листом Національного </w:t>
      </w:r>
      <w:r>
        <w:lastRenderedPageBreak/>
        <w:t xml:space="preserve">банку України від 07.12.2011 № 12-208/1757-14830, Міністерства фінансів України від 07.12.2011 № 31-08410-06-5/30523 та Державної служби статистики України від 07.12.2011 № 04/4-07/702. </w:t>
      </w:r>
    </w:p>
    <w:p w:rsidR="00D120E6" w:rsidRDefault="00D120E6" w:rsidP="00D120E6">
      <w:pPr>
        <w:ind w:firstLine="709"/>
      </w:pPr>
      <w:r w:rsidRPr="00E472A7">
        <w:t>Фінансова звітність кредитної спілки складена вперше із застосуванням міжнародних стандартів фінансової звітності (далі — МСФЗ), чинними протягом звітного періоду. Особливості складання фінансової звітності кредитної спілки за МСФЗ у перші звітні  періоди визначає МСФЗ 1 "Перше застосування Міжнародних стандартів фінансової звітності" (далі — МСФЗ 1). Для складання попередньої фінансової звітності за МСФЗ за 2015 рік застосовані МСФЗ, чинні на 31.12.2015 р., з урахуванням винятків, визначених у МСФЗ 1. При складанні фінансової звітності за 2015 рік кредитна спілка відступила від деяких вимог МСФЗ. У зв’язку з тим, що датою переходу на складання фінансової звітності за МСФЗ кредитною спілкою прийнята дата 01.01.2015 року, фінансова звітність кредитної спілки за 2015 рік не може вважатись повним комплектом фінансової звітності у розумінні МСФЗ 1 «Перше застосування Міжнародних стандартів фінансової звітності» та МСБО 1 «Подання фінансової звітності». Перша фінансова звітність кредитної спі</w:t>
      </w:r>
      <w:r w:rsidR="009A79E8" w:rsidRPr="00E472A7">
        <w:t>лки за МСФЗ у повному складі  складена за 2016 рік</w:t>
      </w:r>
      <w:r w:rsidR="009A79E8" w:rsidRPr="00986B35">
        <w:rPr>
          <w:highlight w:val="yellow"/>
        </w:rPr>
        <w:t>.</w:t>
      </w:r>
      <w:r w:rsidR="009A79E8">
        <w:t xml:space="preserve"> </w:t>
      </w:r>
    </w:p>
    <w:p w:rsidR="00D120E6" w:rsidRDefault="00D120E6" w:rsidP="00D120E6">
      <w:pPr>
        <w:ind w:firstLine="709"/>
      </w:pPr>
      <w:r>
        <w:t>Під час переходу на МСФЗ кредитна спілка застосувала такі винятки:</w:t>
      </w:r>
    </w:p>
    <w:p w:rsidR="00D120E6" w:rsidRDefault="00D120E6" w:rsidP="003365F7">
      <w:pPr>
        <w:pStyle w:val="a"/>
        <w:numPr>
          <w:ilvl w:val="0"/>
          <w:numId w:val="4"/>
        </w:numPr>
      </w:pPr>
      <w:r>
        <w:t xml:space="preserve">Для визначення вартості фінансових активів застосовано виняток, передбачений п. Г19В МСФЗ 1.:«…Якщо для суб’єкта господарювання практично неможливо застосувати ретроспективно метод ефективного відсотка або вимоги зменшення корисності в </w:t>
      </w:r>
      <w:hyperlink r:id="rId7" w:anchor="n228" w:tgtFrame="_blank" w:history="1">
        <w:r>
          <w:rPr>
            <w:rStyle w:val="a5"/>
          </w:rPr>
          <w:t>параграфах 58 - 65</w:t>
        </w:r>
      </w:hyperlink>
      <w:r>
        <w:t> і </w:t>
      </w:r>
      <w:hyperlink r:id="rId8" w:anchor="n442" w:tgtFrame="_blank" w:history="1">
        <w:r>
          <w:rPr>
            <w:rStyle w:val="a5"/>
          </w:rPr>
          <w:t>КЗ84 - КЗ93 МСБО 39</w:t>
        </w:r>
      </w:hyperlink>
      <w:r>
        <w:t xml:space="preserve">, то справедливою вартістю фінансового активу на дату переходу на МСФЗ є нова амортизована собівартість такого фінансового активу на дату переходу на МСФЗ.» Тобто на дату переходу на МСФЗ 01.01.2015 визначити, що справедливою вартістю є нова амортизована собівартість фінансових активів, визначена за даними бухгалтерського обліку та підтверджена результатами інвентаризації на дату переходу на МСФЗ. </w:t>
      </w:r>
    </w:p>
    <w:p w:rsidR="00D120E6" w:rsidRDefault="00D120E6" w:rsidP="003365F7">
      <w:pPr>
        <w:pStyle w:val="a"/>
        <w:numPr>
          <w:ilvl w:val="0"/>
          <w:numId w:val="4"/>
        </w:numPr>
      </w:pPr>
      <w:r>
        <w:t>Для визначення вартості фінансових зобов’язань застосувати виняток, передбачений п. Г19 МСФЗ 1: «…Г19 </w:t>
      </w:r>
      <w:hyperlink r:id="rId9" w:anchor="n2" w:tgtFrame="_blank" w:history="1">
        <w:r>
          <w:rPr>
            <w:rStyle w:val="a5"/>
          </w:rPr>
          <w:t>МСФЗ 9</w:t>
        </w:r>
      </w:hyperlink>
      <w:r>
        <w:t> дозволяє призначати фінансове зобов'язання (за умови відповідності певним критеріям) як фінансове зобов'язання за справедливою вартістю з відображенням результату переоцінки як прибутку або збитку. Незважаючи на цю вимогу, суб'єктові господарювання дозволяється призначати на дату переходу на МСФЗ будь-які фінансові зобов'язання за справедливою вартістю з відображенням результату переоцінки як прибутку або збитку за умови, що таке зобов'язання відповідає критеріям у </w:t>
      </w:r>
      <w:hyperlink r:id="rId10" w:anchor="n107" w:tgtFrame="_blank" w:history="1">
        <w:r>
          <w:rPr>
            <w:rStyle w:val="a5"/>
          </w:rPr>
          <w:t>параграфі 4.2.2 МСФЗ 9</w:t>
        </w:r>
      </w:hyperlink>
      <w:r>
        <w:t xml:space="preserve"> на таку дату..» Тобто на дату переходу на МСФЗ 01.01.2015 визначити, що справедливою вартістю фінансових зобов’язань є вартість, визначена за даними бухгалтерського обліку та підтверджена результатами інвентаризації на дату переходу на МСФЗ. </w:t>
      </w:r>
    </w:p>
    <w:p w:rsidR="00D120E6" w:rsidRDefault="00D120E6" w:rsidP="00D120E6">
      <w:pPr>
        <w:pStyle w:val="rvps7"/>
        <w:numPr>
          <w:ilvl w:val="0"/>
          <w:numId w:val="4"/>
        </w:numPr>
        <w:shd w:val="clear" w:color="auto" w:fill="FFFFFF"/>
        <w:spacing w:before="0" w:beforeAutospacing="0" w:after="0" w:afterAutospacing="0"/>
        <w:ind w:left="0" w:firstLine="709"/>
        <w:jc w:val="both"/>
        <w:textAlignment w:val="baseline"/>
        <w:rPr>
          <w:lang w:val="uk-UA"/>
        </w:rPr>
      </w:pPr>
      <w:r>
        <w:rPr>
          <w:lang w:val="uk-UA"/>
        </w:rPr>
        <w:t>Для оцінки фінансових активів або фінансових зобов'язань за справедливою вартістю при первісному визнанні застосувати виняток відповідно до параграфу Г20 МСФЗ 1: «…Г20 Незважаючи на вимоги параграфів 7 і 9, суб'єкт господарювання може застосовувати вимоги в останньому реченні </w:t>
      </w:r>
      <w:hyperlink r:id="rId11" w:anchor="n459" w:tgtFrame="_blank" w:history="1">
        <w:r>
          <w:rPr>
            <w:rStyle w:val="a5"/>
          </w:rPr>
          <w:t>параграфа Б5.4.8</w:t>
        </w:r>
      </w:hyperlink>
      <w:r>
        <w:rPr>
          <w:lang w:val="uk-UA"/>
        </w:rPr>
        <w:t> і </w:t>
      </w:r>
      <w:hyperlink r:id="rId12" w:anchor="n460" w:tgtFrame="_blank" w:history="1">
        <w:r>
          <w:rPr>
            <w:rStyle w:val="a5"/>
          </w:rPr>
          <w:t>параграфа Б5.4.9 МСФЗ 9</w:t>
        </w:r>
      </w:hyperlink>
      <w:r>
        <w:rPr>
          <w:lang w:val="uk-UA"/>
        </w:rPr>
        <w:t> </w:t>
      </w:r>
      <w:proofErr w:type="spellStart"/>
      <w:r>
        <w:rPr>
          <w:lang w:val="uk-UA"/>
        </w:rPr>
        <w:t>перспективно</w:t>
      </w:r>
      <w:proofErr w:type="spellEnd"/>
      <w:r>
        <w:rPr>
          <w:lang w:val="uk-UA"/>
        </w:rPr>
        <w:t xml:space="preserve"> до операцій, укладених на дату переходу на МСФЗ або пізніше…» Тобто при первісному визнанні фінансових активів та фінансових зобов’язань використовувати ціну операції (суму договору) як справедливу вартість фінансового інструмента. </w:t>
      </w:r>
    </w:p>
    <w:p w:rsidR="00D120E6" w:rsidRDefault="00D120E6" w:rsidP="003365F7">
      <w:pPr>
        <w:pStyle w:val="a"/>
        <w:numPr>
          <w:ilvl w:val="0"/>
          <w:numId w:val="4"/>
        </w:numPr>
      </w:pPr>
      <w:r>
        <w:t xml:space="preserve">При підготовці фінансової звітності кредитна спілка відступила від вимог МСФЗ відповідно до параграфу 17 МСБО 1, а саме відхилилась від вимоги МСБО 39 в частині визнання зменшення корисності фінансових активів у зв’язку з нормативно визначеним обов’язком формування страхового резерву, відповідно до Розпорядження №7 Національної комісії, що здійснює державне регулювання ринків фінансових послуг «Про затвердження Положення про фінансові нормативи діяльності та критерії якості </w:t>
      </w:r>
      <w:r>
        <w:lastRenderedPageBreak/>
        <w:t>системи управління кредитних спілок та об'єднаних кредитних спілок» від 16.01.2004 р. зі змінами та доповненнями. (далі по тексту — Розпорядження №7).</w:t>
      </w:r>
    </w:p>
    <w:p w:rsidR="00D120E6" w:rsidRPr="00B42857" w:rsidRDefault="00D120E6" w:rsidP="003365F7">
      <w:pPr>
        <w:pStyle w:val="a"/>
        <w:numPr>
          <w:ilvl w:val="0"/>
          <w:numId w:val="4"/>
        </w:numPr>
        <w:rPr>
          <w:rFonts w:eastAsia="Times New Roman"/>
          <w:lang w:eastAsia="ru-RU"/>
        </w:rPr>
      </w:pPr>
      <w:r>
        <w:rPr>
          <w:rFonts w:eastAsia="Times New Roman"/>
          <w:lang w:eastAsia="ru-RU"/>
        </w:rPr>
        <w:t xml:space="preserve">Кредитна спілка </w:t>
      </w:r>
      <w:r>
        <w:t>визначила, що, відповідно до МСБО 39 та методичних рекомендацій НБУ щодо розрахунку ефективної ставки відсотка, ефективна ставка відсотка, за умови відсутності додаткових гонорарів та додаткових комісійних зборів, сплачених або отриманих сторонами контракту, які є невід'ємною частиною ефективної ставки відсотка, витрат на операції та всіх інших премій чи дисконтів, дорівнює номінальній ставці.</w:t>
      </w:r>
    </w:p>
    <w:p w:rsidR="00B42857" w:rsidRDefault="00B42857" w:rsidP="00B42857">
      <w:pPr>
        <w:pStyle w:val="a"/>
        <w:numPr>
          <w:ilvl w:val="0"/>
          <w:numId w:val="0"/>
        </w:numPr>
        <w:ind w:left="720"/>
        <w:rPr>
          <w:rFonts w:eastAsia="Times New Roman"/>
          <w:lang w:eastAsia="ru-RU"/>
        </w:rPr>
      </w:pPr>
    </w:p>
    <w:p w:rsidR="00D120E6" w:rsidRDefault="00D120E6" w:rsidP="00D120E6">
      <w:pPr>
        <w:ind w:left="360"/>
      </w:pPr>
      <w:r>
        <w:rPr>
          <w:b/>
        </w:rPr>
        <w:t>Звітна дата та звітний період</w:t>
      </w:r>
    </w:p>
    <w:p w:rsidR="00D120E6" w:rsidRDefault="00D120E6" w:rsidP="00D120E6">
      <w:pPr>
        <w:ind w:left="360"/>
      </w:pPr>
      <w:r>
        <w:t>Звітна дата – за ста</w:t>
      </w:r>
      <w:r w:rsidR="00986B35">
        <w:t>ном на кінець дня 31 грудня 2016</w:t>
      </w:r>
      <w:r>
        <w:t xml:space="preserve"> року.</w:t>
      </w:r>
    </w:p>
    <w:p w:rsidR="00D120E6" w:rsidRDefault="00986B35" w:rsidP="00D120E6">
      <w:pPr>
        <w:ind w:left="360"/>
      </w:pPr>
      <w:r>
        <w:t>Звітний період - 2016</w:t>
      </w:r>
      <w:r w:rsidR="00D120E6">
        <w:t xml:space="preserve"> рік.</w:t>
      </w:r>
    </w:p>
    <w:p w:rsidR="00384A84" w:rsidRDefault="00384A84" w:rsidP="00D120E6">
      <w:pPr>
        <w:ind w:left="360"/>
      </w:pPr>
    </w:p>
    <w:p w:rsidR="00D120E6" w:rsidRDefault="00D120E6" w:rsidP="00D120E6">
      <w:pPr>
        <w:ind w:left="360"/>
        <w:rPr>
          <w:b/>
          <w:i/>
          <w:color w:val="FF0000"/>
        </w:rPr>
      </w:pPr>
    </w:p>
    <w:p w:rsidR="00D120E6" w:rsidRDefault="00D120E6" w:rsidP="00D120E6">
      <w:pPr>
        <w:ind w:left="360"/>
      </w:pPr>
      <w:r>
        <w:rPr>
          <w:b/>
        </w:rPr>
        <w:t>Функціональна валюта звітності</w:t>
      </w:r>
      <w:r>
        <w:t xml:space="preserve"> </w:t>
      </w:r>
      <w:r>
        <w:rPr>
          <w:b/>
        </w:rPr>
        <w:t>та одиниці її виміру</w:t>
      </w:r>
    </w:p>
    <w:p w:rsidR="00D120E6" w:rsidRDefault="00D120E6" w:rsidP="00D120E6">
      <w:pPr>
        <w:ind w:left="360"/>
      </w:pPr>
      <w:r>
        <w:t>Функціональна валюта звітності – гривня.</w:t>
      </w:r>
    </w:p>
    <w:p w:rsidR="00D120E6" w:rsidRDefault="00D120E6" w:rsidP="00D120E6">
      <w:pPr>
        <w:ind w:left="360"/>
      </w:pPr>
      <w:r>
        <w:t>Одиниці виміру – тисячі гривень.</w:t>
      </w:r>
    </w:p>
    <w:p w:rsidR="00D120E6" w:rsidRDefault="00D120E6" w:rsidP="00D120E6">
      <w:pPr>
        <w:widowControl w:val="0"/>
        <w:autoSpaceDE w:val="0"/>
        <w:spacing w:line="100" w:lineRule="atLeast"/>
      </w:pPr>
    </w:p>
    <w:p w:rsidR="00D120E6" w:rsidRDefault="00D120E6" w:rsidP="00D120E6">
      <w:pPr>
        <w:ind w:left="360"/>
      </w:pPr>
      <w:r>
        <w:rPr>
          <w:b/>
        </w:rPr>
        <w:t>Операційне середовище та безперервність діяльності</w:t>
      </w:r>
    </w:p>
    <w:p w:rsidR="00D120E6" w:rsidRDefault="00D120E6" w:rsidP="00D120E6">
      <w:pPr>
        <w:widowControl w:val="0"/>
        <w:autoSpaceDE w:val="0"/>
        <w:spacing w:line="100" w:lineRule="atLeast"/>
      </w:pPr>
      <w:r>
        <w:t>Ді</w:t>
      </w:r>
      <w:r w:rsidR="00986B35">
        <w:t>яльність кредитної спілки в 2016</w:t>
      </w:r>
      <w:r>
        <w:t xml:space="preserve"> році здійснювалась в агресивному операційному середовищі, обумовленому негативною ситуацією в Україні. Стрімке зростання цін та тарифів призвело до різкого зниження рівня платоспроможності позичальників та потенційних позичальників, що призвело до зростання прострочення та зменшення обсягів кредитування. Політична та економічна паніка, підкріплена додатково девальвацією гривні та збільшенням ставок оподаткування пасивних доходів призвела до відтоку ресурсів кредитної спілки. Зміни в податковому кодексі призвели до колізії норм права та невизначеності юридичного статусу кредитної спілки як господарської одиниці, оскільки, відповідно до ЗУ «Про кредитні спілки» та Статуту кредитної спілки, кредитна спілка вважається неприбутковою організацією з визначеним порядком ліквідації та розформування власного капіталу, і, разом з тим, Податковим кодексом кредитні спілки виключено з числа неприбуткових організацій без паралельного внесення відповідних змін до інших нормативних актів. Але, враховуючи достатній рівень капіталу кредитної спілки та її фінансовий стан, а також досвід діяльності в умовах кризи 2008-2009 років, керівництво кредитної спілки вважає обґрунтованим складання цієї фінансової звітності на основі припущення, що кредитна спілка є організацією, здатною продовжувати свою діяльність на безперервній основі. </w:t>
      </w:r>
    </w:p>
    <w:p w:rsidR="00D120E6" w:rsidRDefault="00D120E6" w:rsidP="00D120E6">
      <w:pPr>
        <w:widowControl w:val="0"/>
        <w:autoSpaceDE w:val="0"/>
        <w:spacing w:line="100" w:lineRule="atLeast"/>
      </w:pPr>
    </w:p>
    <w:p w:rsidR="00D120E6" w:rsidRDefault="00D120E6" w:rsidP="00D120E6">
      <w:pPr>
        <w:pStyle w:val="a0"/>
      </w:pPr>
      <w:bookmarkStart w:id="2" w:name="_Toc385338088"/>
      <w:r>
        <w:t xml:space="preserve"> Виклад суттєвих облікових політик</w:t>
      </w:r>
      <w:bookmarkEnd w:id="2"/>
      <w:r>
        <w:t xml:space="preserve"> та суджень. </w:t>
      </w:r>
    </w:p>
    <w:p w:rsidR="00D120E6" w:rsidRDefault="00D120E6" w:rsidP="00D120E6"/>
    <w:p w:rsidR="00D120E6" w:rsidRDefault="00EA5DDB" w:rsidP="00EA5DDB">
      <w:pPr>
        <w:pStyle w:val="a0"/>
        <w:numPr>
          <w:ilvl w:val="0"/>
          <w:numId w:val="0"/>
        </w:numPr>
        <w:ind w:left="284"/>
      </w:pPr>
      <w:r>
        <w:t xml:space="preserve">Примітка 3.1 </w:t>
      </w:r>
      <w:r w:rsidR="00D120E6">
        <w:t>Основи оцінки, застосовані під час складання фінансової звітності.</w:t>
      </w:r>
    </w:p>
    <w:p w:rsidR="00D120E6" w:rsidRDefault="00D120E6" w:rsidP="00D120E6"/>
    <w:p w:rsidR="00D120E6" w:rsidRDefault="00EA5DDB" w:rsidP="00EA5DDB">
      <w:pPr>
        <w:pStyle w:val="a0"/>
        <w:numPr>
          <w:ilvl w:val="0"/>
          <w:numId w:val="0"/>
        </w:numPr>
        <w:ind w:left="284"/>
      </w:pPr>
      <w:r>
        <w:t xml:space="preserve">Примітка 3.1.1. </w:t>
      </w:r>
      <w:r w:rsidR="00D120E6">
        <w:t>Фінансові активи</w:t>
      </w:r>
    </w:p>
    <w:p w:rsidR="00D120E6" w:rsidRDefault="00D120E6" w:rsidP="00D120E6">
      <w:pPr>
        <w:suppressAutoHyphens/>
        <w:spacing w:after="240"/>
        <w:rPr>
          <w:rStyle w:val="rvts9"/>
          <w:b/>
        </w:rPr>
      </w:pPr>
      <w:r>
        <w:rPr>
          <w:rStyle w:val="rvts9"/>
          <w:b/>
          <w:bCs/>
          <w:color w:val="000000"/>
          <w:bdr w:val="none" w:sz="0" w:space="0" w:color="auto" w:frame="1"/>
          <w:shd w:val="clear" w:color="auto" w:fill="FFFFFF"/>
        </w:rPr>
        <w:t>Кредити, надані членам кредитної спілки</w:t>
      </w:r>
      <w:r>
        <w:rPr>
          <w:rStyle w:val="rvts9"/>
          <w:bCs/>
          <w:color w:val="000000"/>
          <w:bdr w:val="none" w:sz="0" w:space="0" w:color="auto" w:frame="1"/>
          <w:shd w:val="clear" w:color="auto" w:fill="FFFFFF"/>
        </w:rPr>
        <w:t xml:space="preserve">. </w:t>
      </w:r>
      <w:r>
        <w:rPr>
          <w:color w:val="000000"/>
          <w:spacing w:val="2"/>
        </w:rPr>
        <w:t>П</w:t>
      </w:r>
      <w:r>
        <w:rPr>
          <w:rStyle w:val="rvts9"/>
          <w:bCs/>
          <w:color w:val="000000"/>
          <w:bdr w:val="none" w:sz="0" w:space="0" w:color="auto" w:frame="1"/>
          <w:shd w:val="clear" w:color="auto" w:fill="FFFFFF"/>
        </w:rPr>
        <w:t xml:space="preserve">ід час первісного визнання цього фінансового активу та за умови застосування звичайної процентної ставки, кредитна спілка оцінює його за справедливою вартістю мінус </w:t>
      </w:r>
      <w:r>
        <w:rPr>
          <w:rStyle w:val="rvts48"/>
          <w:bCs/>
          <w:iCs/>
          <w:color w:val="000000"/>
          <w:bdr w:val="none" w:sz="0" w:space="0" w:color="auto" w:frame="1"/>
          <w:shd w:val="clear" w:color="auto" w:fill="FFFFFF"/>
        </w:rPr>
        <w:t>витрати на операцію</w:t>
      </w:r>
      <w:r>
        <w:rPr>
          <w:rStyle w:val="rvts9"/>
          <w:bCs/>
          <w:color w:val="000000"/>
          <w:bdr w:val="none" w:sz="0" w:space="0" w:color="auto" w:frame="1"/>
          <w:shd w:val="clear" w:color="auto" w:fill="FFFFFF"/>
        </w:rPr>
        <w:t xml:space="preserve">, які прямо відносяться до видачі кредиту. Найкращим доказом справедливої вартості є ціна операції, тобто сума договору. </w:t>
      </w:r>
    </w:p>
    <w:p w:rsidR="00D120E6" w:rsidRDefault="00D120E6" w:rsidP="00D120E6">
      <w:pPr>
        <w:pStyle w:val="rvps2"/>
        <w:shd w:val="clear" w:color="auto" w:fill="FFFFFF"/>
        <w:spacing w:before="0" w:beforeAutospacing="0" w:after="0" w:afterAutospacing="0"/>
        <w:jc w:val="both"/>
        <w:textAlignment w:val="baseline"/>
        <w:rPr>
          <w:lang w:val="uk-UA"/>
        </w:rPr>
      </w:pPr>
      <w:r>
        <w:rPr>
          <w:rStyle w:val="rvts9"/>
          <w:bCs/>
          <w:color w:val="000000"/>
          <w:bdr w:val="none" w:sz="0" w:space="0" w:color="auto" w:frame="1"/>
          <w:shd w:val="clear" w:color="auto" w:fill="FFFFFF"/>
          <w:lang w:val="uk-UA"/>
        </w:rPr>
        <w:t>Подальша оцінка цих фінансових активів здійснюється за амортизованою собівартістю, яка визначається за методом ефективної ставки відсотка відповідно до МСФ</w:t>
      </w:r>
      <w:r w:rsidR="00986B35">
        <w:rPr>
          <w:rStyle w:val="rvts9"/>
          <w:bCs/>
          <w:color w:val="000000"/>
          <w:bdr w:val="none" w:sz="0" w:space="0" w:color="auto" w:frame="1"/>
          <w:shd w:val="clear" w:color="auto" w:fill="FFFFFF"/>
          <w:lang w:val="uk-UA"/>
        </w:rPr>
        <w:t xml:space="preserve"> З</w:t>
      </w:r>
      <w:r>
        <w:rPr>
          <w:rStyle w:val="rvts9"/>
          <w:bCs/>
          <w:color w:val="000000"/>
          <w:bdr w:val="none" w:sz="0" w:space="0" w:color="auto" w:frame="1"/>
          <w:shd w:val="clear" w:color="auto" w:fill="FFFFFF"/>
          <w:lang w:val="uk-UA"/>
        </w:rPr>
        <w:t xml:space="preserve">9. Кредитна спілка не отримує ніяких </w:t>
      </w:r>
      <w:r>
        <w:rPr>
          <w:lang w:val="uk-UA"/>
        </w:rPr>
        <w:t xml:space="preserve">додаткових гонорарів та додаткових комісійних зборів, які є невід'ємною частиною ефективної ставки відсотка, витрат на операції та всіх інших премій чи дисконтів, тому ефективна ставка відсотка дорівнює номінальній ставці, тобто тій, що визначена договором. </w:t>
      </w:r>
    </w:p>
    <w:p w:rsidR="00D120E6" w:rsidRPr="00D120E6" w:rsidRDefault="00D120E6" w:rsidP="00D120E6">
      <w:pPr>
        <w:pStyle w:val="rvps2"/>
        <w:shd w:val="clear" w:color="auto" w:fill="FFFFFF"/>
        <w:spacing w:before="0" w:beforeAutospacing="0" w:after="0" w:afterAutospacing="0"/>
        <w:jc w:val="both"/>
        <w:textAlignment w:val="baseline"/>
        <w:rPr>
          <w:rStyle w:val="rvts9"/>
          <w:bCs/>
          <w:color w:val="000000"/>
          <w:bdr w:val="none" w:sz="0" w:space="0" w:color="auto" w:frame="1"/>
          <w:shd w:val="clear" w:color="auto" w:fill="FFFFFF"/>
          <w:lang w:val="uk-UA"/>
        </w:rPr>
      </w:pPr>
    </w:p>
    <w:p w:rsidR="00D120E6" w:rsidRDefault="00D120E6" w:rsidP="00D120E6">
      <w:pPr>
        <w:rPr>
          <w:rStyle w:val="rvts9"/>
          <w:bCs/>
          <w:color w:val="000000"/>
          <w:bdr w:val="none" w:sz="0" w:space="0" w:color="auto" w:frame="1"/>
          <w:shd w:val="clear" w:color="auto" w:fill="FFFFFF"/>
        </w:rPr>
      </w:pPr>
      <w:r>
        <w:rPr>
          <w:rStyle w:val="rvts48"/>
          <w:bCs/>
          <w:i/>
          <w:iCs/>
          <w:color w:val="000000"/>
          <w:bdr w:val="none" w:sz="0" w:space="0" w:color="auto" w:frame="1"/>
          <w:shd w:val="clear" w:color="auto" w:fill="FFFFFF"/>
        </w:rPr>
        <w:lastRenderedPageBreak/>
        <w:t>Амортизована собівартість фінансового активу або фінансового зобов'язання</w:t>
      </w:r>
      <w:r>
        <w:rPr>
          <w:rStyle w:val="apple-converted-space"/>
          <w:bCs/>
          <w:color w:val="000000"/>
          <w:bdr w:val="none" w:sz="0" w:space="0" w:color="auto" w:frame="1"/>
          <w:shd w:val="clear" w:color="auto" w:fill="FFFFFF"/>
        </w:rPr>
        <w:t> </w:t>
      </w:r>
      <w:r>
        <w:rPr>
          <w:rStyle w:val="rvts9"/>
          <w:bCs/>
          <w:color w:val="000000"/>
          <w:bdr w:val="none" w:sz="0" w:space="0" w:color="auto" w:frame="1"/>
          <w:shd w:val="clear" w:color="auto" w:fill="FFFFFF"/>
        </w:rPr>
        <w:t>— це сума, за якою фінансовий актив чи зобов'язання оцінюється при первісному визнанні, мінус виплати основної суми, плюс (або мінус) накопичена амортизація будь-якої різниці між цією первісною сумою та сумою погашення із застосуванням методу ефективного відсотка та мінус будь-яке зменшення (прямо чи через застосування рахунку резервів) унаслідок зменшення корисності або неможливості отримання….»</w:t>
      </w:r>
    </w:p>
    <w:p w:rsidR="00D120E6" w:rsidRDefault="00D120E6" w:rsidP="00D120E6">
      <w:pPr>
        <w:pStyle w:val="rvps2"/>
        <w:shd w:val="clear" w:color="auto" w:fill="FFFFFF"/>
        <w:spacing w:before="0" w:beforeAutospacing="0" w:after="0" w:afterAutospacing="0"/>
        <w:jc w:val="both"/>
        <w:textAlignment w:val="baseline"/>
        <w:rPr>
          <w:rStyle w:val="apple-converted-space"/>
          <w:lang w:val="uk-UA"/>
        </w:rPr>
      </w:pPr>
    </w:p>
    <w:p w:rsidR="00D120E6" w:rsidRPr="00D120E6" w:rsidRDefault="00D120E6" w:rsidP="00D120E6">
      <w:pPr>
        <w:pStyle w:val="rvps2"/>
        <w:shd w:val="clear" w:color="auto" w:fill="FFFFFF"/>
        <w:spacing w:before="0" w:beforeAutospacing="0" w:after="0" w:afterAutospacing="0"/>
        <w:jc w:val="both"/>
        <w:textAlignment w:val="baseline"/>
        <w:rPr>
          <w:rStyle w:val="rvts9"/>
          <w:bCs/>
          <w:bdr w:val="none" w:sz="0" w:space="0" w:color="auto" w:frame="1"/>
          <w:lang w:val="uk-UA"/>
        </w:rPr>
      </w:pPr>
      <w:r>
        <w:rPr>
          <w:rStyle w:val="rvts48"/>
          <w:bCs/>
          <w:i/>
          <w:iCs/>
          <w:color w:val="000000"/>
          <w:bdr w:val="none" w:sz="0" w:space="0" w:color="auto" w:frame="1"/>
          <w:lang w:val="uk-UA"/>
        </w:rPr>
        <w:t>Метод ефективного відсотка</w:t>
      </w:r>
      <w:r>
        <w:rPr>
          <w:rStyle w:val="apple-converted-space"/>
          <w:bCs/>
          <w:color w:val="000000"/>
          <w:bdr w:val="none" w:sz="0" w:space="0" w:color="auto" w:frame="1"/>
          <w:lang w:val="uk-UA"/>
        </w:rPr>
        <w:t> —</w:t>
      </w:r>
      <w:r>
        <w:rPr>
          <w:rStyle w:val="rvts9"/>
          <w:bCs/>
          <w:color w:val="000000"/>
          <w:bdr w:val="none" w:sz="0" w:space="0" w:color="auto" w:frame="1"/>
          <w:lang w:val="uk-UA"/>
        </w:rPr>
        <w:t xml:space="preserve"> це метод обчислення амортизованої собівартості фінансового активу або фінансового зобов'язання (або групи фінансових активів чи фінансових зобов'язань) та розподілу доходу чи витрат від відсотків на відповідний період.</w:t>
      </w:r>
    </w:p>
    <w:p w:rsidR="00D120E6" w:rsidRPr="00D120E6" w:rsidRDefault="00D120E6" w:rsidP="00D120E6">
      <w:pPr>
        <w:pStyle w:val="rvps2"/>
        <w:shd w:val="clear" w:color="auto" w:fill="FFFFFF"/>
        <w:spacing w:before="0" w:beforeAutospacing="0" w:after="0" w:afterAutospacing="0"/>
        <w:ind w:firstLine="450"/>
        <w:jc w:val="both"/>
        <w:textAlignment w:val="baseline"/>
        <w:rPr>
          <w:lang w:val="uk-UA"/>
        </w:rPr>
      </w:pPr>
    </w:p>
    <w:p w:rsidR="00D120E6" w:rsidRDefault="00D120E6" w:rsidP="00D120E6">
      <w:pPr>
        <w:pStyle w:val="rvps2"/>
        <w:shd w:val="clear" w:color="auto" w:fill="FFFFFF"/>
        <w:spacing w:before="0" w:beforeAutospacing="0" w:after="0" w:afterAutospacing="0"/>
        <w:jc w:val="both"/>
        <w:textAlignment w:val="baseline"/>
        <w:rPr>
          <w:color w:val="000000"/>
          <w:lang w:val="uk-UA"/>
        </w:rPr>
      </w:pPr>
      <w:bookmarkStart w:id="3" w:name="n523"/>
      <w:bookmarkEnd w:id="3"/>
      <w:r>
        <w:rPr>
          <w:rStyle w:val="rvts48"/>
          <w:bCs/>
          <w:i/>
          <w:iCs/>
          <w:color w:val="000000"/>
          <w:bdr w:val="none" w:sz="0" w:space="0" w:color="auto" w:frame="1"/>
          <w:lang w:val="uk-UA"/>
        </w:rPr>
        <w:t>Ефективна ставка відсотка</w:t>
      </w:r>
      <w:r>
        <w:rPr>
          <w:rStyle w:val="apple-converted-space"/>
          <w:bCs/>
          <w:color w:val="000000"/>
          <w:bdr w:val="none" w:sz="0" w:space="0" w:color="auto" w:frame="1"/>
          <w:lang w:val="uk-UA"/>
        </w:rPr>
        <w:t xml:space="preserve"> — </w:t>
      </w:r>
      <w:r>
        <w:rPr>
          <w:rStyle w:val="rvts9"/>
          <w:bCs/>
          <w:color w:val="000000"/>
          <w:bdr w:val="none" w:sz="0" w:space="0" w:color="auto" w:frame="1"/>
          <w:lang w:val="uk-UA"/>
        </w:rPr>
        <w:t>це ставка, яка точно дисконтує попередньо оцінені майбутні платежі або надходження грошових коштів протягом очікуваного строку дії фінансового інструмента та, якщо доцільно, протягом коротшого періоду до чистої балансової вартості фінансового активу чи фінансового зобов'язання. Обчислюючи ефективну ставку відсотка, суб'єкт господарювання має попередньо оцінити грошові потоки, враховуючи всі умови контракту про фінансовий інструмент (наприклад, аванси, опціони "</w:t>
      </w:r>
      <w:proofErr w:type="spellStart"/>
      <w:r>
        <w:rPr>
          <w:rStyle w:val="rvts9"/>
          <w:bCs/>
          <w:color w:val="000000"/>
          <w:bdr w:val="none" w:sz="0" w:space="0" w:color="auto" w:frame="1"/>
          <w:lang w:val="uk-UA"/>
        </w:rPr>
        <w:t>кол</w:t>
      </w:r>
      <w:proofErr w:type="spellEnd"/>
      <w:r>
        <w:rPr>
          <w:rStyle w:val="rvts9"/>
          <w:bCs/>
          <w:color w:val="000000"/>
          <w:bdr w:val="none" w:sz="0" w:space="0" w:color="auto" w:frame="1"/>
          <w:lang w:val="uk-UA"/>
        </w:rPr>
        <w:t>" та подібні опціони), але не має розглядати майбутні збитки від кредитів. Обчислення включає всі гонорари та додаткові комісійні збори, сплачені або отримані сторонами контракту, які є невід'ємною частиною ефективної ставки відсотка (див.</w:t>
      </w:r>
      <w:hyperlink r:id="rId13" w:tgtFrame="_blank" w:history="1">
        <w:r>
          <w:rPr>
            <w:rStyle w:val="a5"/>
            <w:bCs/>
            <w:color w:val="000099"/>
            <w:bdr w:val="none" w:sz="0" w:space="0" w:color="auto" w:frame="1"/>
          </w:rPr>
          <w:t>МСБО 18</w:t>
        </w:r>
      </w:hyperlink>
      <w:r>
        <w:rPr>
          <w:rStyle w:val="rvts9"/>
          <w:bCs/>
          <w:color w:val="000000"/>
          <w:bdr w:val="none" w:sz="0" w:space="0" w:color="auto" w:frame="1"/>
          <w:lang w:val="uk-UA"/>
        </w:rPr>
        <w:t>), витрати на операції та всі інші премії чи дисконти. Є припущення, що грошові потоки та очікуваний строк дії групи подібних фінансових інструментів можна достовірно оцінити. Проте в тих рідкісних випадках, коли неможливо достовірно оцінити грошові потоки або очікуваний строк дії фінансового інструмента (або групи фінансових інструментів), суб'єктові господарювання слід використовувати контрактні грошові потоки за весь контрактний строк фінансового інструмента (або групи фінансових інструментів).</w:t>
      </w:r>
    </w:p>
    <w:p w:rsidR="00D120E6" w:rsidRPr="00D120E6" w:rsidRDefault="00D120E6" w:rsidP="00D120E6">
      <w:pPr>
        <w:pStyle w:val="rvps2"/>
        <w:shd w:val="clear" w:color="auto" w:fill="FFFFFF"/>
        <w:spacing w:before="0" w:beforeAutospacing="0" w:after="0" w:afterAutospacing="0"/>
        <w:jc w:val="both"/>
        <w:textAlignment w:val="baseline"/>
        <w:rPr>
          <w:rStyle w:val="apple-converted-space"/>
          <w:shd w:val="clear" w:color="auto" w:fill="FFFFFF"/>
          <w:lang w:val="uk-UA"/>
        </w:rPr>
      </w:pPr>
    </w:p>
    <w:p w:rsidR="00D120E6" w:rsidRDefault="00D120E6" w:rsidP="00D120E6">
      <w:pPr>
        <w:pStyle w:val="HTML"/>
        <w:shd w:val="clear" w:color="auto" w:fill="FFFFFF"/>
        <w:textAlignment w:val="baseline"/>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На вимогу Розпорядження №7, з метою коректного контролю за фінансовими нормативами кредитна, спілка в обліку класифікує за строками ці фінансові активи за початковим терміном погашення. </w:t>
      </w:r>
    </w:p>
    <w:p w:rsidR="00D120E6" w:rsidRDefault="00D120E6" w:rsidP="00D120E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rStyle w:val="apple-converted-space"/>
          <w:color w:val="000000"/>
          <w:shd w:val="clear" w:color="auto" w:fill="FFFFFF"/>
          <w:lang w:val="uk-UA"/>
        </w:rPr>
      </w:pPr>
    </w:p>
    <w:p w:rsidR="00D120E6" w:rsidRDefault="00D120E6" w:rsidP="00D120E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rStyle w:val="apple-converted-space"/>
          <w:color w:val="000000"/>
          <w:shd w:val="clear" w:color="auto" w:fill="FFFFFF"/>
          <w:lang w:val="uk-UA"/>
        </w:rPr>
      </w:pPr>
      <w:r>
        <w:rPr>
          <w:rStyle w:val="apple-converted-space"/>
          <w:color w:val="000000"/>
          <w:shd w:val="clear" w:color="auto" w:fill="FFFFFF"/>
          <w:lang w:val="uk-UA"/>
        </w:rPr>
        <w:t>Під час складання фінансової звітності для класифікації кредитів за строками кредитна спілка:</w:t>
      </w:r>
    </w:p>
    <w:p w:rsidR="00D120E6" w:rsidRDefault="00D120E6" w:rsidP="00D120E6">
      <w:pPr>
        <w:pStyle w:val="rvps2"/>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rStyle w:val="apple-converted-space"/>
          <w:color w:val="000000"/>
          <w:shd w:val="clear" w:color="auto" w:fill="FFFFFF"/>
          <w:lang w:val="uk-UA"/>
        </w:rPr>
      </w:pPr>
      <w:r>
        <w:rPr>
          <w:rStyle w:val="apple-converted-space"/>
          <w:color w:val="000000"/>
          <w:shd w:val="clear" w:color="auto" w:fill="FFFFFF"/>
          <w:lang w:val="uk-UA"/>
        </w:rPr>
        <w:t>використовує фактичний термін погашення кредитів;</w:t>
      </w:r>
    </w:p>
    <w:p w:rsidR="00D120E6" w:rsidRDefault="00D120E6" w:rsidP="00D120E6">
      <w:pPr>
        <w:pStyle w:val="rvps2"/>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rStyle w:val="apple-converted-space"/>
          <w:color w:val="000000"/>
          <w:shd w:val="clear" w:color="auto" w:fill="FFFFFF"/>
          <w:lang w:val="uk-UA"/>
        </w:rPr>
      </w:pPr>
      <w:r>
        <w:rPr>
          <w:rStyle w:val="apple-converted-space"/>
          <w:color w:val="000000"/>
          <w:shd w:val="clear" w:color="auto" w:fill="FFFFFF"/>
          <w:lang w:val="uk-UA"/>
        </w:rPr>
        <w:t xml:space="preserve">обов’язково відображає довгострокові кредити </w:t>
      </w:r>
      <w:r>
        <w:rPr>
          <w:rStyle w:val="apple-converted-space"/>
          <w:color w:val="000000"/>
          <w:u w:val="single"/>
          <w:shd w:val="clear" w:color="auto" w:fill="FFFFFF"/>
          <w:lang w:val="uk-UA"/>
        </w:rPr>
        <w:t>по частинах</w:t>
      </w:r>
      <w:r>
        <w:rPr>
          <w:rStyle w:val="apple-converted-space"/>
          <w:color w:val="000000"/>
          <w:shd w:val="clear" w:color="auto" w:fill="FFFFFF"/>
          <w:lang w:val="uk-UA"/>
        </w:rPr>
        <w:t xml:space="preserve"> у розрізі строку погашення </w:t>
      </w:r>
      <w:r>
        <w:rPr>
          <w:rStyle w:val="rvts9"/>
          <w:bCs/>
          <w:color w:val="000000"/>
          <w:bdr w:val="none" w:sz="0" w:space="0" w:color="auto" w:frame="1"/>
          <w:lang w:val="uk-UA"/>
        </w:rPr>
        <w:t>не більше дванадцяти місяців після дати балансу та через більш ніж дванадцять місяців після дати балансу</w:t>
      </w:r>
      <w:r>
        <w:rPr>
          <w:rStyle w:val="apple-converted-space"/>
          <w:color w:val="000000"/>
          <w:shd w:val="clear" w:color="auto" w:fill="FFFFFF"/>
          <w:lang w:val="uk-UA"/>
        </w:rPr>
        <w:t xml:space="preserve">.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Знецінення кредитів, наданих членам кредитної спілки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Кредитна спілка, відповідно до Закону України «Про кредитні спілки» (далі по тексту — Основний закон), в порядку, передбаченому Розпорядженням </w:t>
      </w:r>
      <w:r>
        <w:rPr>
          <w:rStyle w:val="apple-converted-space"/>
          <w:shd w:val="clear" w:color="auto" w:fill="FFFFFF"/>
        </w:rPr>
        <w:t xml:space="preserve">№7, </w:t>
      </w:r>
      <w:r>
        <w:t xml:space="preserve">Положення про фінансові послуги та Положення про фінансове управління, на постійній основі здійснює моніторинг кредитного портфеля на предмет зменшення корисності (знецінення). Відповідно до вимог Розпорядження </w:t>
      </w:r>
      <w:r>
        <w:rPr>
          <w:rStyle w:val="apple-converted-space"/>
          <w:shd w:val="clear" w:color="auto" w:fill="FFFFFF"/>
        </w:rPr>
        <w:t>№7, кредитна спілка формує Резерв забезпечення покриття втрат від неповернених позичок</w:t>
      </w:r>
      <w:r>
        <w:t xml:space="preserve"> в порядку, передбаченому п. 5.1 зазначеного Розпорядження. Спеціалізоване програмне забезпечення розраховує дні прострочення, класифікує кредити за рівнями прострочення та розраховує необхідний резерв автоматично. Якщо, відповідно до МСБО 39, кредитна спілка виявляє інші ніж прострочення фактори знецінення, кредитна спілка формує резерв в розмірі більшому, ніж необхідний, але з урахуванням того, що загальна сума сформованого резерву не може перевищувати загальну суму прострочених кредитів. Також кредитна спілка у складі резерву покриття втрат від неповернених позичок  формує резерв на нараховані але несплачені проценти відповідно до вимог Розпорядження №7 зі змінами та доповненнями. Кредитна спілка формує  резерв на нараховані проценти у наступному порядку: 100% простроченої заборгованості за процентами, нарахованими з 01.01.2015 року.</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lastRenderedPageBreak/>
        <w:t xml:space="preserve">Грошові кошти та їх еквіваленти. </w:t>
      </w:r>
      <w:r>
        <w:t>Грошові кошти та їх еквіваленти включають залишки коштів у касі та на банківських рахунках в національній валюті, а також кошти на депозитних рахунках в банках «До запитання», короткострокові високоліквідні фінансові інвестиції, які вільно конвертуються у певні суми грошей і характеризуються незначним ризиком зміни вартості, що можуть бути використані для поточних операцій. Грошові кошти та їх еквіваленти обліковуються за амортизованою вартістю.</w:t>
      </w:r>
    </w:p>
    <w:p w:rsidR="00B42857" w:rsidRDefault="00B4285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Інша поточна дебіторська заборгованість. </w:t>
      </w:r>
      <w:r>
        <w:t xml:space="preserve">До іншої поточної дебіторської заборгованості кредитна спілка відносить будь-яку заборгованість, крім зборів, податків та обов’язкових платежів, в момент виникнення юридичного права на отримання платежів за такою заборгованістю. Відповідно до вимог Розпорядження </w:t>
      </w:r>
      <w:r>
        <w:rPr>
          <w:rStyle w:val="apple-converted-space"/>
          <w:shd w:val="clear" w:color="auto" w:fill="FFFFFF"/>
        </w:rPr>
        <w:t xml:space="preserve">№7, з метою покриття втрат за іншою дебіторською заборгованістю у разі виникнення ризику неповернення, кредитна спілка формує резерв сумнівних боргів. </w:t>
      </w:r>
      <w:r>
        <w:t>Величина резерву сумнівних боргів визначається за методом застосування абсолютної суми сумнівної заборгованості. Сума сформованого резерву сумнівних боргів на дату балансу не може перевищувати загальну суму іншої дебіторської заборгованості.</w:t>
      </w:r>
      <w:r>
        <w:rPr>
          <w:b/>
        </w:rPr>
        <w:t xml:space="preserve"> </w:t>
      </w:r>
    </w:p>
    <w:p w:rsidR="00B42857" w:rsidRDefault="00B4285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D120E6" w:rsidRPr="00D120E6" w:rsidRDefault="00D120E6" w:rsidP="00D120E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lang w:val="uk-UA"/>
        </w:rPr>
      </w:pPr>
      <w:r w:rsidRPr="00D120E6">
        <w:rPr>
          <w:b/>
          <w:lang w:val="uk-UA"/>
        </w:rPr>
        <w:t>Припинення визнання фінансових активів.</w:t>
      </w:r>
      <w:r w:rsidRPr="00D120E6">
        <w:rPr>
          <w:rFonts w:ascii="Bookman Old Style" w:hAnsi="Bookman Old Style"/>
          <w:color w:val="000000"/>
          <w:sz w:val="18"/>
          <w:szCs w:val="18"/>
          <w:lang w:val="uk-UA"/>
        </w:rPr>
        <w:t xml:space="preserve">  </w:t>
      </w:r>
      <w:r w:rsidRPr="00D120E6">
        <w:rPr>
          <w:lang w:val="uk-UA"/>
        </w:rPr>
        <w:t>Відповідно до МСФЗ 9, К</w:t>
      </w:r>
      <w:r w:rsidR="00986B35">
        <w:rPr>
          <w:lang w:val="uk-UA"/>
        </w:rPr>
        <w:t xml:space="preserve">редитна спілка припиняє </w:t>
      </w:r>
      <w:r w:rsidRPr="00D120E6">
        <w:rPr>
          <w:lang w:val="uk-UA"/>
        </w:rPr>
        <w:t xml:space="preserve"> визнання фінансового активу тоді і лише тоді, коли:</w:t>
      </w:r>
    </w:p>
    <w:p w:rsidR="00D120E6" w:rsidRDefault="00D120E6" w:rsidP="00D120E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lang w:val="uk-UA"/>
        </w:rPr>
      </w:pPr>
      <w:bookmarkStart w:id="4" w:name="n22"/>
      <w:bookmarkEnd w:id="4"/>
      <w:r>
        <w:rPr>
          <w:lang w:val="uk-UA"/>
        </w:rPr>
        <w:t xml:space="preserve">-  </w:t>
      </w:r>
      <w:r>
        <w:t xml:space="preserve">строк </w:t>
      </w:r>
      <w:proofErr w:type="spellStart"/>
      <w:r>
        <w:t>дії</w:t>
      </w:r>
      <w:proofErr w:type="spellEnd"/>
      <w:r>
        <w:t xml:space="preserve"> </w:t>
      </w:r>
      <w:proofErr w:type="spellStart"/>
      <w:r>
        <w:t>контрактних</w:t>
      </w:r>
      <w:proofErr w:type="spellEnd"/>
      <w:r>
        <w:t xml:space="preserve"> прав на </w:t>
      </w:r>
      <w:proofErr w:type="spellStart"/>
      <w:r>
        <w:t>грошові</w:t>
      </w:r>
      <w:proofErr w:type="spellEnd"/>
      <w:r>
        <w:t xml:space="preserve"> потоки </w:t>
      </w:r>
      <w:proofErr w:type="spellStart"/>
      <w:r>
        <w:t>від</w:t>
      </w:r>
      <w:proofErr w:type="spellEnd"/>
      <w:r>
        <w:t xml:space="preserve"> </w:t>
      </w:r>
      <w:proofErr w:type="spellStart"/>
      <w:r>
        <w:t>фінансового</w:t>
      </w:r>
      <w:proofErr w:type="spellEnd"/>
      <w:r>
        <w:t xml:space="preserve"> активу </w:t>
      </w:r>
      <w:proofErr w:type="spellStart"/>
      <w:r>
        <w:t>закінчується</w:t>
      </w:r>
      <w:proofErr w:type="spellEnd"/>
      <w:r>
        <w:t xml:space="preserve">, </w:t>
      </w:r>
    </w:p>
    <w:p w:rsidR="00D120E6" w:rsidRDefault="00D120E6" w:rsidP="00D120E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lang w:val="uk-UA"/>
        </w:rPr>
      </w:pPr>
      <w:r w:rsidRPr="00D120E6">
        <w:rPr>
          <w:lang w:val="uk-UA"/>
        </w:rPr>
        <w:t>або</w:t>
      </w:r>
      <w:bookmarkStart w:id="5" w:name="n23"/>
      <w:bookmarkEnd w:id="5"/>
    </w:p>
    <w:p w:rsidR="00D120E6" w:rsidRDefault="00D120E6" w:rsidP="00986B3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lang w:val="uk-UA"/>
        </w:rPr>
      </w:pPr>
      <w:r>
        <w:rPr>
          <w:lang w:val="uk-UA"/>
        </w:rPr>
        <w:t>- вона передає фінансовий актив і ця передача відповідає критеріям для припинення визнання, а саме якщо кредитна спілка передає в основному всі ризики та винагороди від володіння фінансовим активом, то кредитна спілка  припиняє визнання фінансового активу і визнає окремо як активи або зобов'язання будь-які права та зобов'язання, створ</w:t>
      </w:r>
      <w:r w:rsidR="00986B35">
        <w:rPr>
          <w:lang w:val="uk-UA"/>
        </w:rPr>
        <w:t>ені або збережені при передачі.</w:t>
      </w:r>
      <w:bookmarkStart w:id="6" w:name="n24"/>
      <w:bookmarkEnd w:id="6"/>
    </w:p>
    <w:p w:rsidR="00B42857" w:rsidRPr="00986B35" w:rsidRDefault="00B42857" w:rsidP="00986B3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lang w:val="uk-UA"/>
        </w:rPr>
      </w:pPr>
    </w:p>
    <w:p w:rsidR="00D120E6" w:rsidRDefault="00EA5DDB" w:rsidP="00EA5DDB">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3.1.2 </w:t>
      </w:r>
      <w:r w:rsidR="00D120E6">
        <w:t>Фінансові інвестиції</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Кредитна спілка під час складання фінансової звітності відносить до фінансових інвестицій депозити в банках, ОКС, пайові внески в ОКС. Фінансові інвестиції обліковуються та відображаються у звітності за справедливою вартістю. </w:t>
      </w:r>
    </w:p>
    <w:p w:rsidR="00D120E6" w:rsidRDefault="00EA5DDB" w:rsidP="00EA5DDB">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3.1.3 </w:t>
      </w:r>
      <w:r w:rsidR="00D120E6">
        <w:t>Основні засоби та нематеріальні активи</w:t>
      </w:r>
    </w:p>
    <w:p w:rsidR="00D120E6" w:rsidRDefault="00D120E6" w:rsidP="00D120E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rStyle w:val="apple-converted-space"/>
          <w:color w:val="000000"/>
          <w:shd w:val="clear" w:color="auto" w:fill="FFFFFF"/>
          <w:lang w:val="uk-UA"/>
        </w:rPr>
      </w:pPr>
      <w:r>
        <w:rPr>
          <w:rStyle w:val="apple-converted-space"/>
          <w:color w:val="000000"/>
          <w:shd w:val="clear" w:color="auto" w:fill="FFFFFF"/>
          <w:lang w:val="uk-UA"/>
        </w:rPr>
        <w:t>Основні засоби та нематеріальні активи обліковуються за первісною (переоціненою) вартістю мінус накопичена амортизація та збитки від знецінення, за наявності. Витрати на ремонт та технічне обслуговування основних засобів визнаються в</w:t>
      </w:r>
      <w:r w:rsidR="00C81F4E">
        <w:rPr>
          <w:rStyle w:val="apple-converted-space"/>
          <w:color w:val="000000"/>
          <w:shd w:val="clear" w:color="auto" w:fill="FFFFFF"/>
          <w:lang w:val="uk-UA"/>
        </w:rPr>
        <w:t>итратами по мірі їх виникнення.</w:t>
      </w:r>
      <w:r>
        <w:rPr>
          <w:rStyle w:val="apple-converted-space"/>
          <w:color w:val="000000"/>
          <w:shd w:val="clear" w:color="auto" w:fill="FFFFFF"/>
          <w:lang w:val="uk-UA"/>
        </w:rPr>
        <w:t xml:space="preserve"> </w:t>
      </w:r>
    </w:p>
    <w:p w:rsidR="00D120E6" w:rsidRDefault="00D120E6" w:rsidP="00D120E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szCs w:val="23"/>
          <w:lang w:val="uk-UA"/>
        </w:rPr>
      </w:pPr>
      <w:r>
        <w:rPr>
          <w:szCs w:val="23"/>
          <w:lang w:val="uk-UA"/>
        </w:rPr>
        <w:t>Амортизація основних засобів та нематеріальних активів</w:t>
      </w:r>
      <w:r>
        <w:rPr>
          <w:i/>
          <w:szCs w:val="23"/>
          <w:lang w:val="uk-UA"/>
        </w:rPr>
        <w:t xml:space="preserve"> </w:t>
      </w:r>
      <w:r>
        <w:rPr>
          <w:szCs w:val="23"/>
          <w:lang w:val="uk-UA"/>
        </w:rPr>
        <w:t xml:space="preserve">розраховується прямолінійним методом з метою рівномірного зменшення первісної вартості до ліквідаційної вартості протягом строку корисного використання активу. </w:t>
      </w:r>
      <w:r>
        <w:rPr>
          <w:lang w:val="uk-UA"/>
        </w:rPr>
        <w:t>Амортизація активу починається, коли він стає придатним для використання, тобто коли він доставлений до місця розташування та приведений у стан, у якому він придатний до експлуатації. Амортизація активу припиняється на одну з двох дат, яка відбувається раніше: на дату, з якої актив класифікується як утримуваний для продажу (або включається до ліквідаційної групи, яка класифікується як утримувана для продажу) згідно з МСФЗ 5, або на дату, з якої припиняють визнання активу. Амортизація не припиняється, коли актив не використовується або він вибуває з активного використання, доки актив не буде амортизований повністю.</w:t>
      </w:r>
      <w:r>
        <w:rPr>
          <w:szCs w:val="23"/>
          <w:lang w:val="uk-UA"/>
        </w:rPr>
        <w:t xml:space="preserve"> Строки експлуатації основних засобів зазна</w:t>
      </w:r>
      <w:r w:rsidR="00460372">
        <w:rPr>
          <w:szCs w:val="23"/>
          <w:lang w:val="uk-UA"/>
        </w:rPr>
        <w:t>чені в примітці 4</w:t>
      </w:r>
      <w:r>
        <w:rPr>
          <w:szCs w:val="23"/>
          <w:lang w:val="uk-UA"/>
        </w:rPr>
        <w:t xml:space="preserve">.1. До нематеріальних активів в кредитній спілці переважно відносяться ліцензійне програмне забезпечення, спеціалізоване програмне забезпечення та ліцензії на здійснення діяльності (за наявності). </w:t>
      </w:r>
      <w:r>
        <w:rPr>
          <w:lang w:val="uk-UA"/>
        </w:rPr>
        <w:t xml:space="preserve">Нематеріальні активи з невизначеним строком експлуатації не підлягають амортизації. </w:t>
      </w:r>
      <w:r>
        <w:rPr>
          <w:szCs w:val="23"/>
          <w:lang w:val="uk-UA"/>
        </w:rPr>
        <w:t>Строки експлуатації нематеріальни</w:t>
      </w:r>
      <w:r w:rsidR="00460372">
        <w:rPr>
          <w:szCs w:val="23"/>
          <w:lang w:val="uk-UA"/>
        </w:rPr>
        <w:t>х активів зазначені в примітці 4</w:t>
      </w:r>
      <w:r>
        <w:rPr>
          <w:szCs w:val="23"/>
          <w:lang w:val="uk-UA"/>
        </w:rPr>
        <w:t>.1.</w:t>
      </w:r>
    </w:p>
    <w:p w:rsidR="00B42857" w:rsidRPr="00D120E6" w:rsidRDefault="00B42857" w:rsidP="00D120E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lang w:val="uk-UA"/>
        </w:rPr>
      </w:pPr>
    </w:p>
    <w:p w:rsidR="00D120E6" w:rsidRDefault="00D95AFB" w:rsidP="00D95AFB">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3.1.4  </w:t>
      </w:r>
      <w:r w:rsidR="00D120E6">
        <w:t>Активи, утримувані для продажу</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Необоротні активи або групи вибуття, що включають активи та зобов'язання, балансова вартість яких, як очікується, буде відшкодована переважно в результаті продажу або розподілу, а не в результаті тривалого використання, відносяться до категорії активів, утримуваних для </w:t>
      </w:r>
      <w:r>
        <w:lastRenderedPageBreak/>
        <w:t xml:space="preserve">продажу. Необоротні активи, класифіковані як утримувані для продажу, оцінюються за їхньою балансовою вартістю або за справедливою вартістю за вирахуванням витрат на продаж, залежно від того, яка з цих сум менша. </w:t>
      </w:r>
    </w:p>
    <w:p w:rsidR="00D120E6" w:rsidRDefault="00D95AFB" w:rsidP="00D95AFB">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3.1.5 </w:t>
      </w:r>
      <w:r w:rsidR="00D120E6">
        <w:t xml:space="preserve">Фінансові зобов’язання </w:t>
      </w:r>
    </w:p>
    <w:p w:rsidR="00B42857" w:rsidRPr="00B42857" w:rsidRDefault="00B42857" w:rsidP="00B42857"/>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Фінансові зобов’язання </w:t>
      </w:r>
      <w:r>
        <w:t>в основному складаються з внесків (вкладів) на депозитні рахунки, кредитів, отриманих в ОКС, коштів, залучених від інших юридичних осіб.</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Style w:val="rvts9"/>
        </w:rPr>
      </w:pPr>
      <w:r>
        <w:rPr>
          <w:shd w:val="clear" w:color="auto" w:fill="FFFFFF"/>
        </w:rPr>
        <w:t xml:space="preserve">При первісному визнанні за умови застосування звичайної відсоткової ставки </w:t>
      </w:r>
      <w:r>
        <w:rPr>
          <w:rStyle w:val="rvts9"/>
          <w:bCs/>
          <w:color w:val="000000"/>
          <w:bdr w:val="none" w:sz="0" w:space="0" w:color="auto" w:frame="1"/>
          <w:shd w:val="clear" w:color="auto" w:fill="FFFFFF"/>
        </w:rPr>
        <w:t xml:space="preserve">кредитна спілка оцінює фінансові зобов’язання за справедливою вартістю мінус </w:t>
      </w:r>
      <w:r>
        <w:rPr>
          <w:rStyle w:val="rvts48"/>
          <w:bCs/>
          <w:iCs/>
          <w:color w:val="000000"/>
          <w:bdr w:val="none" w:sz="0" w:space="0" w:color="auto" w:frame="1"/>
          <w:shd w:val="clear" w:color="auto" w:fill="FFFFFF"/>
        </w:rPr>
        <w:t>витрати на операцію</w:t>
      </w:r>
      <w:r>
        <w:rPr>
          <w:rStyle w:val="rvts9"/>
          <w:bCs/>
          <w:color w:val="000000"/>
          <w:bdr w:val="none" w:sz="0" w:space="0" w:color="auto" w:frame="1"/>
          <w:shd w:val="clear" w:color="auto" w:fill="FFFFFF"/>
        </w:rPr>
        <w:t xml:space="preserve">, які прямо відносяться до залучення зобов’язання. Найкращим доказом справедливої вартості є ціна операції, тобто сума договору.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Pr>
          <w:shd w:val="clear" w:color="auto" w:fill="FFFFFF"/>
        </w:rPr>
        <w:t xml:space="preserve">Відповідно до МСФЗ 9, кредитна спілка </w:t>
      </w:r>
      <w:r>
        <w:rPr>
          <w:rStyle w:val="rvts9"/>
          <w:bCs/>
          <w:color w:val="000000"/>
          <w:bdr w:val="none" w:sz="0" w:space="0" w:color="auto" w:frame="1"/>
        </w:rPr>
        <w:t xml:space="preserve">класифікує всі фінансові зобов'язання як такі, що у подальшому оцінюються за амортизованою собівартістю, користуючись </w:t>
      </w:r>
      <w:r>
        <w:rPr>
          <w:rStyle w:val="apple-converted-space"/>
          <w:bCs/>
          <w:color w:val="000000"/>
          <w:bdr w:val="none" w:sz="0" w:space="0" w:color="auto" w:frame="1"/>
        </w:rPr>
        <w:t> </w:t>
      </w:r>
      <w:r>
        <w:rPr>
          <w:rStyle w:val="rvts48"/>
          <w:bCs/>
          <w:iCs/>
          <w:color w:val="000000"/>
          <w:bdr w:val="none" w:sz="0" w:space="0" w:color="auto" w:frame="1"/>
        </w:rPr>
        <w:t xml:space="preserve">методом ефективного відсотка. </w:t>
      </w:r>
      <w:r>
        <w:t xml:space="preserve">Метод ефективного відсотка не застосовується за фінансовими зобов’язаннями, за якими неможливо достовірно і однозначно визначити грошові потоки, а саме: внески (вклади) на депозитні рахунки до запитання, строкові внески (вклади) на депозитні рахунки з можливістю </w:t>
      </w:r>
      <w:proofErr w:type="spellStart"/>
      <w:r>
        <w:t>довкладання</w:t>
      </w:r>
      <w:proofErr w:type="spellEnd"/>
      <w:r>
        <w:t xml:space="preserve"> або з капіталізацією процентів, а також визнані зобов’язання відповідно до п.18 МСБО 32. За відсутності суми первісного дисконту балансова вартість (амортизована собівартість) розраховується як залишок основної суми та нарахованих, але не виплачених процентів на дату звітності.  </w:t>
      </w:r>
    </w:p>
    <w:p w:rsidR="00D120E6" w:rsidRDefault="00D120E6" w:rsidP="00D120E6">
      <w:pPr>
        <w:pStyle w:val="HTML"/>
        <w:shd w:val="clear" w:color="auto" w:fill="FFFFFF"/>
        <w:textAlignment w:val="baseline"/>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На вимогу Розпорядження №7, з метою коректного контролю за фінансовими нормативами, кредитна спілка в обліку класифікує за строками фінансові активи за початковим терміном погашення. Під час складання фінансової звітності за міжнародними стандартами для класифікації зобов’язань за строками кредитна спілка:</w:t>
      </w:r>
    </w:p>
    <w:p w:rsidR="00D120E6" w:rsidRDefault="00D120E6" w:rsidP="00D120E6">
      <w:pPr>
        <w:pStyle w:val="rvps2"/>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rStyle w:val="apple-converted-space"/>
          <w:color w:val="000000"/>
          <w:shd w:val="clear" w:color="auto" w:fill="FFFFFF"/>
          <w:lang w:val="uk-UA"/>
        </w:rPr>
      </w:pPr>
      <w:r>
        <w:rPr>
          <w:rStyle w:val="apple-converted-space"/>
          <w:color w:val="000000"/>
          <w:shd w:val="clear" w:color="auto" w:fill="FFFFFF"/>
          <w:lang w:val="uk-UA"/>
        </w:rPr>
        <w:t>використовує фактичний термін погашення зобов’язань;</w:t>
      </w:r>
    </w:p>
    <w:p w:rsidR="00D120E6" w:rsidRDefault="00D120E6" w:rsidP="00D120E6">
      <w:pPr>
        <w:pStyle w:val="rvps2"/>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rStyle w:val="apple-converted-space"/>
          <w:color w:val="000000"/>
          <w:shd w:val="clear" w:color="auto" w:fill="FFFFFF"/>
          <w:lang w:val="uk-UA"/>
        </w:rPr>
      </w:pPr>
      <w:r>
        <w:rPr>
          <w:rStyle w:val="apple-converted-space"/>
          <w:color w:val="000000"/>
          <w:shd w:val="clear" w:color="auto" w:fill="FFFFFF"/>
          <w:lang w:val="uk-UA"/>
        </w:rPr>
        <w:t xml:space="preserve">обов’язково відображає довгострокові зобов’язання по частинах у розрізі строку погашення </w:t>
      </w:r>
      <w:r>
        <w:rPr>
          <w:rStyle w:val="apple-converted-space"/>
          <w:shd w:val="clear" w:color="auto" w:fill="FFFFFF"/>
          <w:lang w:val="uk-UA"/>
        </w:rPr>
        <w:t>не більше дванадцяти місяців після дати балансу та через більш ніж дванадцять місяців після дати балансу</w:t>
      </w:r>
      <w:r>
        <w:rPr>
          <w:rStyle w:val="apple-converted-space"/>
          <w:color w:val="000000"/>
          <w:shd w:val="clear" w:color="auto" w:fill="FFFFFF"/>
          <w:lang w:val="uk-UA"/>
        </w:rPr>
        <w:t xml:space="preserve">. </w:t>
      </w:r>
    </w:p>
    <w:p w:rsidR="00B42857" w:rsidRDefault="00B42857" w:rsidP="00D120E6">
      <w:pPr>
        <w:pStyle w:val="rvps2"/>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rStyle w:val="apple-converted-space"/>
          <w:color w:val="000000"/>
          <w:shd w:val="clear" w:color="auto" w:fill="FFFFFF"/>
          <w:lang w:val="uk-UA"/>
        </w:rPr>
      </w:pPr>
    </w:p>
    <w:p w:rsidR="00D120E6" w:rsidRDefault="00D95AFB" w:rsidP="00D95AFB">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3.1.6 </w:t>
      </w:r>
      <w:r w:rsidR="00D120E6">
        <w:t>Забезпечення, умовні зобов’язання та умовні активи</w:t>
      </w:r>
    </w:p>
    <w:p w:rsidR="004A7C6F" w:rsidRPr="004A7C6F" w:rsidRDefault="004A7C6F" w:rsidP="004A7C6F"/>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Забезпечення в фінансовій звітності </w:t>
      </w:r>
      <w:r>
        <w:t>визнається, якщо виконуються всі три умови:</w:t>
      </w:r>
    </w:p>
    <w:p w:rsidR="00D120E6" w:rsidRDefault="00D120E6" w:rsidP="003365F7">
      <w:pPr>
        <w:pStyle w:val="a"/>
        <w:numPr>
          <w:ilvl w:val="0"/>
          <w:numId w:val="6"/>
        </w:numPr>
      </w:pPr>
      <w:r>
        <w:t>кредитна спілка має існуюче зобов'язання (юридичне чи конструктивне) внаслідок минулої події;</w:t>
      </w:r>
    </w:p>
    <w:p w:rsidR="00D120E6" w:rsidRDefault="00D120E6" w:rsidP="003365F7">
      <w:pPr>
        <w:pStyle w:val="a"/>
        <w:numPr>
          <w:ilvl w:val="0"/>
          <w:numId w:val="6"/>
        </w:numPr>
      </w:pPr>
      <w:r>
        <w:t>ймовірно, що вибуття ресурсів буде необхідним для виконання зобов'язання;</w:t>
      </w:r>
    </w:p>
    <w:p w:rsidR="00D120E6" w:rsidRDefault="00D120E6" w:rsidP="003365F7">
      <w:pPr>
        <w:pStyle w:val="a"/>
        <w:numPr>
          <w:ilvl w:val="0"/>
          <w:numId w:val="6"/>
        </w:numPr>
      </w:pPr>
      <w:r>
        <w:t>можна достовірно оцінити суму зобов'язання.</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 xml:space="preserve">Забезпечення переглядається на кінець кожного звітного періоду та коригується для відображення поточної найкращої оцінки. Якщо вже немає ймовірності, що вибуття ресурсів, котрі втілюють у собі економічні вигоди, буде потрібним для погашення зобов'язання, забезпечення </w:t>
      </w:r>
      <w:proofErr w:type="spellStart"/>
      <w:r>
        <w:t>сторнується</w:t>
      </w:r>
      <w:proofErr w:type="spellEnd"/>
      <w:r>
        <w:t xml:space="preserve">. Забезпечення використовується лише для тих видатків, для яких воно було створено з самого початку. Лише видатки, пов'язані з забезпеченням, під які воно було створено, згортаються з ним. Якщо кредитна спілка має обтяжливий контракт, існуюче зобов'язання за цим контрактом вона визнає та оцінює як забезпечення. Витрати на реструктуризацію можуть бути визнані забезпеченням тільки якщо реструктуризація розпочата в звітному періоді та ці витрати відповідають всім трьом умовам визнання забезпечення.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textAlignment w:val="baseline"/>
        <w:rPr>
          <w:color w:val="000000"/>
          <w:bdr w:val="none" w:sz="0" w:space="0" w:color="auto" w:frame="1"/>
        </w:rPr>
      </w:pPr>
      <w:r>
        <w:t xml:space="preserve">Щодо умовних зобов’язань </w:t>
      </w:r>
      <w:r>
        <w:rPr>
          <w:bCs/>
          <w:color w:val="000000"/>
          <w:bdr w:val="none" w:sz="0" w:space="0" w:color="auto" w:frame="1"/>
        </w:rPr>
        <w:t>кредитна спілка розкриває для кожного класу умовного зобов'язання на кінець звітного періоду стислу інформацію про сутність умовного зобов'язання і, якщо можливо, наближену оцінку його фінансового впливу, інформацію про невизначеності щодо суми або часу будь-якого вибуття та</w:t>
      </w:r>
      <w:bookmarkStart w:id="7" w:name="n194"/>
      <w:bookmarkEnd w:id="7"/>
      <w:r>
        <w:rPr>
          <w:color w:val="000000"/>
          <w:bdr w:val="none" w:sz="0" w:space="0" w:color="auto" w:frame="1"/>
        </w:rPr>
        <w:t xml:space="preserve"> </w:t>
      </w:r>
      <w:r>
        <w:rPr>
          <w:bCs/>
          <w:color w:val="000000"/>
          <w:bdr w:val="none" w:sz="0" w:space="0" w:color="auto" w:frame="1"/>
        </w:rPr>
        <w:t>можливість будь-якої компенсації.</w:t>
      </w:r>
      <w:bookmarkStart w:id="8" w:name="n200"/>
      <w:bookmarkEnd w:id="8"/>
      <w:r>
        <w:rPr>
          <w:color w:val="000000"/>
          <w:bdr w:val="none" w:sz="0" w:space="0" w:color="auto" w:frame="1"/>
        </w:rPr>
        <w:t xml:space="preserve"> </w:t>
      </w:r>
      <w:r>
        <w:rPr>
          <w:bCs/>
          <w:color w:val="000000"/>
          <w:bdr w:val="none" w:sz="0" w:space="0" w:color="auto" w:frame="1"/>
        </w:rPr>
        <w:t xml:space="preserve">У надзвичайно рідкісних випадках можна очікувати, що розкриття деякої або всієї інформації </w:t>
      </w:r>
      <w:proofErr w:type="spellStart"/>
      <w:r>
        <w:rPr>
          <w:bCs/>
          <w:color w:val="000000"/>
          <w:bdr w:val="none" w:sz="0" w:space="0" w:color="auto" w:frame="1"/>
        </w:rPr>
        <w:t>завдасть</w:t>
      </w:r>
      <w:proofErr w:type="spellEnd"/>
      <w:r>
        <w:rPr>
          <w:bCs/>
          <w:color w:val="000000"/>
          <w:bdr w:val="none" w:sz="0" w:space="0" w:color="auto" w:frame="1"/>
        </w:rPr>
        <w:t xml:space="preserve"> серйозної шкоди позиціям кредитної спілки в суперечці з іншими сторонами щодо предмету забезпечення, умовного зобов'язання чи умовного активу. В таких випадках кредитна спілка не </w:t>
      </w:r>
      <w:r>
        <w:rPr>
          <w:bCs/>
          <w:color w:val="000000"/>
          <w:bdr w:val="none" w:sz="0" w:space="0" w:color="auto" w:frame="1"/>
        </w:rPr>
        <w:lastRenderedPageBreak/>
        <w:t>розкриває інформацію, але розкриває загальний характер суперечки, а також той факт, що інформація не була розкрита, і причини цього.</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p w:rsidR="00D120E6" w:rsidRDefault="00D95AFB" w:rsidP="00D95AFB">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3.1.7 </w:t>
      </w:r>
      <w:r w:rsidR="00D120E6">
        <w:t>Визнання доходів та витрат</w:t>
      </w:r>
    </w:p>
    <w:p w:rsidR="004A7C6F" w:rsidRPr="004A7C6F" w:rsidRDefault="004A7C6F" w:rsidP="004A7C6F"/>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Pr>
          <w:rStyle w:val="rvts44"/>
          <w:bCs/>
          <w:color w:val="000000"/>
          <w:bdr w:val="none" w:sz="0" w:space="0" w:color="auto" w:frame="1"/>
        </w:rPr>
        <w:t>Дохід у фінансовій звітності визнається методом нарахування.</w:t>
      </w:r>
      <w:r>
        <w:rPr>
          <w:rStyle w:val="rvts44"/>
        </w:rPr>
        <w:t xml:space="preserve"> </w:t>
      </w:r>
      <w:r>
        <w:rPr>
          <w:rStyle w:val="rvts44"/>
          <w:bCs/>
          <w:color w:val="000000"/>
          <w:bdr w:val="none" w:sz="0" w:space="0" w:color="auto" w:frame="1"/>
        </w:rPr>
        <w:t>Проценти за кредитами визнаються із застосуванням методу ефективної ставки відсотка.</w:t>
      </w:r>
      <w:r>
        <w:rPr>
          <w:rStyle w:val="rvts44"/>
        </w:rPr>
        <w:t xml:space="preserve"> </w:t>
      </w:r>
      <w:r>
        <w:rPr>
          <w:rStyle w:val="rvts44"/>
          <w:bCs/>
          <w:color w:val="000000"/>
          <w:bdr w:val="none" w:sz="0" w:space="0" w:color="auto" w:frame="1"/>
        </w:rPr>
        <w:t xml:space="preserve">Коли виникає невизначеність щодо отримання нарахованих процентів, які були визнані доходом, такі проценти визнаються як витрати, </w:t>
      </w:r>
      <w:r>
        <w:rPr>
          <w:color w:val="000000"/>
        </w:rPr>
        <w:t>а не як коригування суми первісно визнаного доходу.</w:t>
      </w:r>
      <w:r>
        <w:t xml:space="preserve"> Визнання витрат у фінансовій звітності здійснюється за принципом нарахування. Кредитна спілка аналізує витрати із застосуванням класифікації, яка базується на характері витрат. У фі</w:t>
      </w:r>
      <w:r>
        <w:rPr>
          <w:color w:val="000000"/>
        </w:rPr>
        <w:t>нансовій звітності витрати на сплату відсотків визнаються, обчислені за допомогою методу ефективного відсотка.</w:t>
      </w:r>
      <w:r>
        <w:rPr>
          <w:b/>
          <w:color w:val="000000"/>
        </w:rPr>
        <w:t xml:space="preserve"> </w:t>
      </w:r>
      <w:r>
        <w:t>Суми, розподілені на додаткові пайові внески, у фінансовій звітності відображаються у складі фінансових витрат. Витрати визнаються на основі безпосереднього зіставлення між понесеними витратами і прибутками по конкретних статтях доходів, що припускає одночасне визнання прибутків і витрат, що виникають безпосередньо і спільно від одних і тих же операцій або інших подій. Доходи і витрати включаються до складу Звіту про фінансові результати (Звіт про сукупний дохід) на підставі принципів нарахування і відповідності відображення в бухгалтерському обліку і звітності тих періодів, до яких вони відносяться.</w:t>
      </w:r>
    </w:p>
    <w:p w:rsidR="00D120E6" w:rsidRDefault="00D95AFB" w:rsidP="00D95AFB">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3.1.8 </w:t>
      </w:r>
      <w:r w:rsidR="00D120E6">
        <w:t>Витрати на персонал та відповідні нарахування</w:t>
      </w:r>
    </w:p>
    <w:p w:rsidR="004A7C6F" w:rsidRPr="004A7C6F" w:rsidRDefault="004A7C6F" w:rsidP="004A7C6F"/>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Витрати на заробітну плату, на нарахування єдиного соціального внеску, оплачувані річні відпустки та лікарняні, премії, а також негрошові винагороди нараховуються у тому періоді, в якому відповідні послуги надавались працівниками кредитної спілки. У кредитній спілці формується резерв на відпустки відповідно до законодавства. У кредитної спілки відсутнє юридичне або конструктивне зобов’язання здійснювати пенсійні або інші подібні виплати, крім платежів відповідно до законодавства.</w:t>
      </w:r>
    </w:p>
    <w:p w:rsidR="00D120E6" w:rsidRDefault="00D95AFB" w:rsidP="00D95AFB">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3.1.9 </w:t>
      </w:r>
      <w:r w:rsidR="00D120E6">
        <w:t>Виправлення сум попередніх періодів</w:t>
      </w:r>
    </w:p>
    <w:p w:rsidR="004A7C6F" w:rsidRPr="004A7C6F" w:rsidRDefault="004A7C6F" w:rsidP="004A7C6F"/>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Cs w:val="23"/>
        </w:rPr>
      </w:pPr>
      <w:r>
        <w:rPr>
          <w:szCs w:val="23"/>
        </w:rPr>
        <w:t>У поданій фінансовій звітності немає виправлення сум попередніх періодів.</w:t>
      </w:r>
    </w:p>
    <w:p w:rsidR="00D120E6" w:rsidRDefault="00D95AFB" w:rsidP="00D95AFB">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3.1.10 </w:t>
      </w:r>
      <w:r w:rsidR="00D120E6">
        <w:t>Нові положення фінансової звітності та дострокове застосування</w:t>
      </w:r>
    </w:p>
    <w:p w:rsidR="004A7C6F" w:rsidRPr="004A7C6F" w:rsidRDefault="004A7C6F" w:rsidP="004A7C6F"/>
    <w:p w:rsidR="00D120E6" w:rsidRPr="003365F7"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rPr>
      </w:pPr>
      <w:r w:rsidRPr="003365F7">
        <w:t>Були опубліковані окремі нові стандарти та тлумачення, що будуть обов’язковими для застосування Кредитною спілкою у річних періодах, які починаються з 1 січня 2015 року або після цієї дати. Кредитна спілка не застосовувала ці стандарти та тлумачення до початку їх обов’язкового застосування.</w:t>
      </w:r>
    </w:p>
    <w:p w:rsidR="00D120E6" w:rsidRPr="003365F7" w:rsidRDefault="00D120E6" w:rsidP="003365F7">
      <w:pPr>
        <w:pStyle w:val="a"/>
      </w:pPr>
      <w:r w:rsidRPr="003365F7">
        <w:t xml:space="preserve">МСФЗ 9 «Фінансові інструменти: класифікація та оцінка» (змінений у липні 2014 року; застосовується до річних періодів, які починаються з 1 січня 2018 року або після цієї дати). Нижче описані основні особливості нового стандарту, які стосуються діяльності кредитної спілки: </w:t>
      </w:r>
    </w:p>
    <w:p w:rsidR="00D120E6" w:rsidRPr="003365F7" w:rsidRDefault="00D120E6" w:rsidP="003365F7">
      <w:pPr>
        <w:pStyle w:val="a"/>
        <w:numPr>
          <w:ilvl w:val="1"/>
          <w:numId w:val="7"/>
        </w:numPr>
      </w:pPr>
      <w:r w:rsidRPr="003365F7">
        <w:t xml:space="preserve">Фінансові активи вимагається відносити до трьох категорій оцінки: фінансові активи, які у подальшому оцінюються за амортизованою вартістю, фінансові активи, які у подальшому оцінюються за справедливою вартістю, зміни якої відносяться на інший сукупний дохід, та фінансові активи, які у подальшому оцінюються за справедливою вартістю, зміни якої відносяться на фінансовий результат. </w:t>
      </w:r>
    </w:p>
    <w:p w:rsidR="00D120E6" w:rsidRPr="003365F7" w:rsidRDefault="00D120E6" w:rsidP="003365F7">
      <w:pPr>
        <w:pStyle w:val="a"/>
        <w:numPr>
          <w:ilvl w:val="1"/>
          <w:numId w:val="7"/>
        </w:numPr>
      </w:pPr>
      <w:r w:rsidRPr="003365F7">
        <w:t xml:space="preserve">Класифікація боргових інструментів залежить від бізнес-моделі організації, що використовується для управління фінансовими активами, і результатів аналізу того факту, чи договірні грошові потоки є виключно виплатами основної суми боргу та процентів. Якщо борговий інструмент утримується для отримання грошових потоків, він може обліковуватись за амортизованою вартістю, якщо він також відповідає </w:t>
      </w:r>
      <w:r w:rsidRPr="003365F7">
        <w:lastRenderedPageBreak/>
        <w:t xml:space="preserve">критерію виключно виплат основної суми боргу та процентів. Боргові інструменти, які відповідають критерію виключно виплат основної суми боргу та процентів і утримуються в портфелі, коли підприємство одночасно отримує потоки грошових коштів від активів і продає активи, можуть відноситись у категорію за справедливою вартістю, зміни якої відносяться на інший сукупний дохід. Фінансові активи, що мають грошові потоки, які не є виключно виплатами основної суми боргу та процентів, слід оцінювати за справедливою вартістю, зміни якої відносяться на фінансовий результат (наприклад, похідні фінансові інструменти). Вбудовані похідні активи не відокремлюються від фінансових активів, а враховуються при оцінці відповідності критерію виключно виплат основної суми боргу та процентів. </w:t>
      </w:r>
    </w:p>
    <w:p w:rsidR="00D120E6" w:rsidRPr="003365F7" w:rsidRDefault="00D120E6" w:rsidP="003365F7">
      <w:pPr>
        <w:pStyle w:val="a"/>
        <w:numPr>
          <w:ilvl w:val="1"/>
          <w:numId w:val="7"/>
        </w:numPr>
      </w:pPr>
      <w:r w:rsidRPr="003365F7">
        <w:t xml:space="preserve">Більшість вимог МСБО 39 щодо класифікації та оцінки фінансових зобов’язань були перенесені до МСФЗ 9 без змін. Основна відмінність полягає у тому, що організація буде зобов’язана показувати у складі інших сукупних доходів вплив змін у власному кредитному ризику фінансових зобов’язань, віднесених до категорії за справедливою вартістю, зміни якої відносяться на фінансовий результат. </w:t>
      </w:r>
    </w:p>
    <w:p w:rsidR="00D120E6" w:rsidRPr="003365F7" w:rsidRDefault="00D120E6" w:rsidP="003365F7">
      <w:pPr>
        <w:pStyle w:val="a"/>
        <w:numPr>
          <w:ilvl w:val="1"/>
          <w:numId w:val="7"/>
        </w:numPr>
      </w:pPr>
      <w:r w:rsidRPr="003365F7">
        <w:t xml:space="preserve">МСФЗ 9 вводить нову модель для визнання збитків від знецінення – модель очікуваних кредитних збитків. В основі цієї моделі лежить </w:t>
      </w:r>
      <w:proofErr w:type="spellStart"/>
      <w:r w:rsidRPr="003365F7">
        <w:t>триетапний</w:t>
      </w:r>
      <w:proofErr w:type="spellEnd"/>
      <w:r w:rsidRPr="003365F7">
        <w:t xml:space="preserve"> підхід, в межах якого аналізується зміна кредитної якості фінансових активів після їх початкового визнання. На практиці нові правила означають, що організації будуть зобов’язані негайно обліковувати збиток у сумі очікуваного кредитного збитку за 12 місяців при початковому визнанні фінансових активів, які не мають кредитного знецінення (чи для дебіторської заборгованості за основною діяльністю – у сумі очікуваного кредитного збитку за весь строк дії такої заборгованості). У разі суттєвого зростання кредитного ризику знецінення оцінюється із використанням очікуваного кредитного збитку за весь строк дії фінансового активу, а не очікуваного кредитного збитку за 12 місяців. Ця модель передбачає операційні спрощення дебіторської заборгованості за орендою та основною діяльністю. </w:t>
      </w:r>
    </w:p>
    <w:p w:rsidR="00D120E6" w:rsidRPr="003365F7" w:rsidRDefault="00D120E6" w:rsidP="003365F7">
      <w:pPr>
        <w:pStyle w:val="a"/>
      </w:pPr>
      <w:r w:rsidRPr="003365F7">
        <w:t xml:space="preserve">Роз’яснення методів нарахування амортизації основних засобів та нематеріальних активів – Зміни МСБО 16 та МСБО 38 (випущені 12 травня 2014 року; застосовуються до річних періодів, які починаються з 1 січня 2016 року або після цієї дати). Цими змінами КМСБО роз’яснив, що використання основаних на доходах методів розрахунку амортизації активу є недоречним, оскільки доходи, отримані у результаті діяльності, яка передбачає використання активу, переважно відображають інші фактори, а не отримання економічних </w:t>
      </w:r>
      <w:proofErr w:type="spellStart"/>
      <w:r w:rsidRPr="003365F7">
        <w:t>вигод</w:t>
      </w:r>
      <w:proofErr w:type="spellEnd"/>
      <w:r w:rsidRPr="003365F7">
        <w:t xml:space="preserve"> від цього активу. На думку Правління кредитної спілки, ці зміни не матимуть суттєвого впливу на його окрему фінансову звітність.</w:t>
      </w:r>
    </w:p>
    <w:p w:rsidR="00D120E6" w:rsidRDefault="00D120E6" w:rsidP="003365F7">
      <w:pPr>
        <w:pStyle w:val="a"/>
      </w:pPr>
      <w:r w:rsidRPr="003365F7">
        <w:t>Щорічні удосконалення МСФЗ 2014 року (випущені у вересні 2014 року; застосовуються до річних періодів, починаючи з 1 січня 2016 року або після цієї дати). Зміни стосуються чотирьох стандартів. Зміни МСФЗ 5 роз’яснюють, що зміна способу вибуття (</w:t>
      </w:r>
      <w:proofErr w:type="spellStart"/>
      <w:r w:rsidRPr="003365F7">
        <w:t>рекласифікація</w:t>
      </w:r>
      <w:proofErr w:type="spellEnd"/>
      <w:r w:rsidRPr="003365F7">
        <w:t xml:space="preserve"> з активів, що утримуються для продажу, в активи, що утримуються для розподілу, або навпаки) не є зміною плану продажу або розподілу та не потребує відображення в обліку в якості зміни цього плану. Зміни МСФЗ 7 містять додаткові методичні рекомендації, які допомагають керівництву визначити, чи умови угоди про обслуговування переданого фінансового активу являють собою триваючу участь для цілей розкриття інформації згідно з МСФЗ 7. Зміна цього стандарту також роз’яснює, що вимоги до розкриття інформації про взаємозалік згідно з МСФЗ 7 стосовно проміжної фінансової звітності відсутні, крім випадків, коли цього вимагає МСБО 34. Зміна МСБО 19 роз’яснює, що при обліку зобов’язань з пенсійного забезпечення рішення щодо ставки дисконтування, </w:t>
      </w:r>
      <w:r w:rsidRPr="003365F7">
        <w:lastRenderedPageBreak/>
        <w:t xml:space="preserve">наявності розвинутого ринку («глибокого ринку») високоякісних корпоративних облігацій або про те, які державні облігації використовувати в якості орієнтира, повинні ґрунтуватись на тій валюті, в якій деноміновані зобов’язання, а не на валюті країни, в якій вони виникли. МСБО 34 вводить вимогу, згідно з якою проміжна фінансова звітність повинна містити перехресне посилання на місцезнаходження «інформації в інших формах проміжної фінансової звітності».  </w:t>
      </w:r>
    </w:p>
    <w:p w:rsidR="00B42857" w:rsidRPr="003365F7" w:rsidRDefault="00B42857" w:rsidP="00B42857">
      <w:pPr>
        <w:pStyle w:val="a"/>
        <w:numPr>
          <w:ilvl w:val="0"/>
          <w:numId w:val="0"/>
        </w:numPr>
        <w:ind w:left="360"/>
      </w:pPr>
    </w:p>
    <w:p w:rsidR="00D120E6" w:rsidRDefault="00D95AFB" w:rsidP="00D95AFB">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3.2 </w:t>
      </w:r>
      <w:r w:rsidR="00D120E6">
        <w:t>Основні судження, що використовувались при застосуванні облікової політики.</w:t>
      </w:r>
    </w:p>
    <w:p w:rsidR="00D120E6" w:rsidRDefault="00D95AFB" w:rsidP="00D95AFB">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87"/>
        <w:jc w:val="left"/>
      </w:pPr>
      <w:r>
        <w:t xml:space="preserve">Примітка 3.2.1  </w:t>
      </w:r>
      <w:r w:rsidR="00D120E6">
        <w:t xml:space="preserve">Капітал кредитної спілки. </w:t>
      </w:r>
      <w:proofErr w:type="spellStart"/>
      <w:r w:rsidR="00D120E6">
        <w:t>Класифікаця</w:t>
      </w:r>
      <w:proofErr w:type="spellEnd"/>
      <w:r w:rsidR="00D120E6">
        <w:t xml:space="preserve"> та оцінка.</w:t>
      </w:r>
    </w:p>
    <w:p w:rsidR="004A7C6F" w:rsidRPr="004A7C6F" w:rsidRDefault="004A7C6F" w:rsidP="004A7C6F"/>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Відповідно до вимог Основного закону та вимог регулятора, кредитна спілка відносить до капіталу пайовий, резервний, додатковий капітал, а також залишок нерозподіленого доходу. Однак, на вимогу МСБО 32, в цій фінансовій звітності пайовий та додатковий капітал кредитної спілки, який може бути повернений за заявою члена кредитної спілки, відображено у складі поточних фінансових зобов’язань. Додатково на вимогу регулятора кредитна спілка оцінює та контролює розмір регулятивного капіталу, який складається із суми фактично сформованого резерву забезпечення покриття втрат від неповернених позичок та суми капіталу кредитної спілки, сформованого за рахунок резервного капіталу, нерозподіленого доходу (за наявності), обов'язкових пайових внесків, додаткового капіталу, за винятком добровільних цільових внесків членів кредитної спілки, зменшеної на суму непокритого збитку (за наявності). Кредитна спілка на регулярній основі контролює нормативи достатності капіталу та платоспроможності, передбачені вимогами </w:t>
      </w:r>
      <w:r>
        <w:rPr>
          <w:rStyle w:val="apple-converted-space"/>
          <w:shd w:val="clear" w:color="auto" w:fill="FFFFFF"/>
        </w:rPr>
        <w:t xml:space="preserve">Розпорядження №7. На вимогу </w:t>
      </w:r>
      <w:proofErr w:type="spellStart"/>
      <w:r>
        <w:rPr>
          <w:rStyle w:val="apple-converted-space"/>
          <w:shd w:val="clear" w:color="auto" w:fill="FFFFFF"/>
        </w:rPr>
        <w:t>НПсБО</w:t>
      </w:r>
      <w:proofErr w:type="spellEnd"/>
      <w:r>
        <w:rPr>
          <w:rStyle w:val="apple-converted-space"/>
          <w:shd w:val="clear" w:color="auto" w:fill="FFFFFF"/>
        </w:rPr>
        <w:t xml:space="preserve"> 1 "Загальні вимоги до фінансової звітності" наводиться</w:t>
      </w:r>
      <w:r>
        <w:t xml:space="preserve"> інформація про призначення та умови використання кожного елемента власного капіталу (крім зареєстрованого капіталу).</w:t>
      </w:r>
    </w:p>
    <w:p w:rsidR="00B42857" w:rsidRDefault="00B4285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Відповідно до статуту кредитної спілки:</w:t>
      </w:r>
    </w:p>
    <w:p w:rsidR="00B42857" w:rsidRDefault="00B4285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 </w:t>
      </w:r>
      <w:r>
        <w:rPr>
          <w:b/>
          <w:bCs/>
        </w:rPr>
        <w:t>Резервний капітал</w:t>
      </w:r>
      <w:r>
        <w:t xml:space="preserve"> призначений для відшкодування можливих збитків кредитної спілки, які не можуть бути покритими за рахунок надходжень поточного року, забезпечення платоспроможності кредитної спілки та захисту заощаджень її членів.</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Рішення про використання капіталу на покриття збитків кредитної спілки приймається спостережною радою кредитної спілки в порядку, визначеному законодавством та рішенням загальних зборів членів кредитної спілки.</w:t>
      </w:r>
    </w:p>
    <w:p w:rsidR="00B42857" w:rsidRDefault="00B4285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 </w:t>
      </w:r>
      <w:r>
        <w:rPr>
          <w:b/>
          <w:bCs/>
        </w:rPr>
        <w:t>Додатковий капітал</w:t>
      </w:r>
      <w:r>
        <w:t xml:space="preserve"> кредитної спілки формується за рахунок цільових внесків членів кредитної спілки, благодійних внесків фізичних та юридичних осіб, безоплатно отриманого майна і необоротних засобів. Рішенням загальних зборів може бути встановлена обов'язковість унесення всіма членами кредитної спілки з визначеною періодичністю певної суми цільового внеску членів кредитної спілки в додатковий капітал.</w:t>
      </w:r>
      <w:r>
        <w:br/>
        <w:t>У разі ліквідації спілки залишок додаткового капіталу зараховується до Державного бюджету України.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Відповідно до положення про фінансове управління кредитної спілки додатковий капітал може бути використаний на покриття збитків. Також положенням про фінансове управління та Порядком розподілу доходів та покриття збитків встановлена черговість використання капіталу на покриття збитків. </w:t>
      </w:r>
    </w:p>
    <w:p w:rsidR="004A7C6F" w:rsidRDefault="004A7C6F"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Статутом кредитної спілки визначений порядок розподілу доходу: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 </w:t>
      </w:r>
      <w:r>
        <w:rPr>
          <w:b/>
          <w:bCs/>
        </w:rPr>
        <w:t>Нерозподілений дохід</w:t>
      </w:r>
      <w:r>
        <w:t xml:space="preserve">, що залишається у розпорядженні кредитної спілки за підсумками фінансового року, розподіляється за рішенням загальних зборів, у тому числі між членами кредитної спілки, </w:t>
      </w:r>
      <w:proofErr w:type="spellStart"/>
      <w:r>
        <w:t>пропорційно</w:t>
      </w:r>
      <w:proofErr w:type="spellEnd"/>
      <w:r>
        <w:t xml:space="preserve"> розміру їх пайових внесків у вигляді відсотків (процентів). При цьому в першу чергу відбувається необхідне поповнення капіталу та резервів. </w:t>
      </w:r>
      <w:r>
        <w:lastRenderedPageBreak/>
        <w:t>Сума доходу, яка розподіляється на додаткові пайові членські внески, визначається з дотриманням умови, що доходність додаткових пайових членських внесків не може перевищувати більш ніж у два рази середньозважену процентну ставку доходності внесків (вкладів) членів кредитної спілки на депозитних рахунках за їх наявності. Решта доходу, що залишилася після формування капіталу й резервів та розподілу на додаткові пайові членські внески, розподіляється на обов'язкові пайові членські внески. Розподіл доходів кредитної спілки протягом року відбувається в порядку, визначеному рішенням загальних зборів членів кредитної спілки.</w:t>
      </w:r>
    </w:p>
    <w:p w:rsidR="00D120E6" w:rsidRDefault="00D120E6" w:rsidP="008C6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Кредитна спілка контролює нормативи достатності капіталу та платоспроможності відповідно до вимог Розпорядження </w:t>
      </w:r>
      <w:proofErr w:type="spellStart"/>
      <w:r>
        <w:t>Нацкомфінпослуг</w:t>
      </w:r>
      <w:proofErr w:type="spellEnd"/>
      <w:r>
        <w:t xml:space="preserve"> №7. Розрахунок основних нормативів достатності капіталу та платоспроможності наведено в окремій таблиці </w:t>
      </w:r>
      <w:r w:rsidR="00460372">
        <w:t>примітки 7</w:t>
      </w:r>
      <w:r w:rsidRPr="006137EB">
        <w:t>.</w:t>
      </w:r>
      <w:r w:rsidR="008C61A2">
        <w:t xml:space="preserve">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p>
    <w:p w:rsidR="00D120E6" w:rsidRDefault="008C61A2" w:rsidP="008C61A2">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rsidRPr="008C61A2">
        <w:t>Примітка 3.2.2.</w:t>
      </w:r>
      <w:r w:rsidR="00D120E6">
        <w:rPr>
          <w:b/>
        </w:rPr>
        <w:t xml:space="preserve"> </w:t>
      </w:r>
      <w:r w:rsidR="00D120E6">
        <w:t>Умовні зобов’язання</w:t>
      </w:r>
    </w:p>
    <w:p w:rsidR="004A7C6F" w:rsidRPr="004A7C6F" w:rsidRDefault="004A7C6F" w:rsidP="004A7C6F"/>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bCs/>
          <w:iCs/>
          <w:color w:val="000000"/>
          <w:bdr w:val="none" w:sz="0" w:space="0" w:color="auto" w:frame="1"/>
        </w:rPr>
      </w:pPr>
      <w:r>
        <w:t xml:space="preserve">Під умовними зобов’язаннями кредитна спілка розуміє </w:t>
      </w:r>
      <w:r>
        <w:rPr>
          <w:bCs/>
          <w:iCs/>
          <w:color w:val="000000"/>
          <w:bdr w:val="none" w:sz="0" w:space="0" w:color="auto" w:frame="1"/>
        </w:rPr>
        <w:t>можливе зобов’язання (якого ще фактично немає), яке залежить від минулих подій та від того, чи відбудеться або не відбудеться ще подія (події) в майбутньому та яка не залежить від кредитної спілки.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Cs/>
          <w:color w:val="000000"/>
          <w:bdr w:val="none" w:sz="0" w:space="0" w:color="auto" w:frame="1"/>
        </w:rPr>
      </w:pPr>
      <w:r>
        <w:rPr>
          <w:bCs/>
          <w:iCs/>
          <w:color w:val="000000"/>
          <w:bdr w:val="none" w:sz="0" w:space="0" w:color="auto" w:frame="1"/>
        </w:rPr>
        <w:t>Також це може бути існуюче зобов’язання (юридичне або конструктивне), яке не може бути розкрите в звітності, оскільки невідомо, чи буде в майбутньому вибуття ресурсів, або неможливо оцінити суму</w:t>
      </w:r>
      <w:r>
        <w:rPr>
          <w:iCs/>
          <w:color w:val="000000"/>
          <w:bdr w:val="none" w:sz="0" w:space="0" w:color="auto" w:frame="1"/>
        </w:rPr>
        <w:t xml:space="preserve">. </w:t>
      </w:r>
    </w:p>
    <w:p w:rsidR="004A7C6F" w:rsidRDefault="004A7C6F"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Cs/>
          <w:color w:val="000000"/>
          <w:bdr w:val="none" w:sz="0" w:space="0" w:color="auto" w:frame="1"/>
        </w:rPr>
      </w:pPr>
    </w:p>
    <w:p w:rsidR="00D120E6" w:rsidRDefault="008C61A2" w:rsidP="008C61A2">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rsidRPr="008C61A2">
        <w:t>Примітка 3.2.3</w:t>
      </w:r>
      <w:r>
        <w:rPr>
          <w:b/>
        </w:rPr>
        <w:t xml:space="preserve"> </w:t>
      </w:r>
      <w:r w:rsidR="00D120E6">
        <w:rPr>
          <w:b/>
        </w:rPr>
        <w:t xml:space="preserve"> </w:t>
      </w:r>
      <w:r w:rsidR="00D120E6">
        <w:t>Умовні активи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bCs/>
          <w:iCs/>
          <w:color w:val="000000"/>
          <w:bdr w:val="none" w:sz="0" w:space="0" w:color="auto" w:frame="1"/>
        </w:rPr>
      </w:pPr>
      <w:r>
        <w:rPr>
          <w:bCs/>
          <w:iCs/>
          <w:color w:val="000000"/>
          <w:bdr w:val="none" w:sz="0" w:space="0" w:color="auto" w:frame="1"/>
        </w:rPr>
        <w:t>Під умовними активами кредитна спілка розуміє можливий актив (якого ще фактично немає), який залежить від минулих подій та від того, чи відбудеться або не відбудеться ще подія (події) в майбутньому та яка не залежить від кредитної спілки.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b/>
          <w:bCs/>
          <w:i/>
          <w:iCs/>
          <w:color w:val="000000"/>
          <w:bdr w:val="none" w:sz="0" w:space="0" w:color="auto" w:frame="1"/>
        </w:rPr>
      </w:pPr>
    </w:p>
    <w:p w:rsidR="00D120E6" w:rsidRDefault="008C61A2" w:rsidP="008C61A2">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rsidRPr="008C61A2">
        <w:t>Примітка 3.2.4</w:t>
      </w:r>
      <w:r>
        <w:rPr>
          <w:b/>
          <w:i w:val="0"/>
        </w:rPr>
        <w:t xml:space="preserve"> </w:t>
      </w:r>
      <w:r w:rsidR="00D120E6">
        <w:rPr>
          <w:b/>
        </w:rPr>
        <w:t xml:space="preserve"> </w:t>
      </w:r>
      <w:r w:rsidR="00D120E6">
        <w:t>Пов’язані сторони</w:t>
      </w:r>
    </w:p>
    <w:p w:rsidR="004A7C6F" w:rsidRPr="004A7C6F" w:rsidRDefault="004A7C6F" w:rsidP="004A7C6F"/>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t xml:space="preserve">У визначенні кола пов’язаних сторін кредитна спілка регулюється ЗУ «Про фінансові послуги та державне регулювання ринків фінансових послуг». </w:t>
      </w:r>
      <w:r>
        <w:rPr>
          <w:color w:val="000000"/>
        </w:rPr>
        <w:t>У фінансовій звітності на вимогу МСБО 24 кредитна сп</w:t>
      </w:r>
      <w:r w:rsidR="008C61A2">
        <w:rPr>
          <w:color w:val="000000"/>
        </w:rPr>
        <w:t>ілка розкриває інформацію про пов</w:t>
      </w:r>
      <w:r>
        <w:rPr>
          <w:color w:val="000000"/>
        </w:rPr>
        <w:t>’язані ст</w:t>
      </w:r>
      <w:r w:rsidR="008C61A2">
        <w:rPr>
          <w:color w:val="000000"/>
        </w:rPr>
        <w:t>о</w:t>
      </w:r>
      <w:r>
        <w:rPr>
          <w:color w:val="000000"/>
        </w:rPr>
        <w:t xml:space="preserve">рони окремо по членах правління та спостережної ради; внутрішньому аудитору та членах сімей членів правління, спостережної ради та внутрішнього аудитора. По пов’язаних сторонах розкривається така інформація: виплати працівникам; залишки дебіторської заборгованості в розрізі строків; залишки зобов’язань (з урахуванням </w:t>
      </w:r>
      <w:proofErr w:type="spellStart"/>
      <w:r>
        <w:rPr>
          <w:color w:val="000000"/>
        </w:rPr>
        <w:t>зворотніх</w:t>
      </w:r>
      <w:proofErr w:type="spellEnd"/>
      <w:r>
        <w:rPr>
          <w:color w:val="000000"/>
        </w:rPr>
        <w:t xml:space="preserve"> внесків в капітал) в розрізі строків, та, за наявності, такі операції: придбання або продаж нерухомості та інших активів; отримання послуг; оренда; надання гарантій або застави. Інформація щодо пов’язаних сторін розкрита у </w:t>
      </w:r>
      <w:r w:rsidR="00460372">
        <w:rPr>
          <w:color w:val="000000"/>
        </w:rPr>
        <w:t>Примітці 8</w:t>
      </w:r>
      <w:r w:rsidRPr="006137EB">
        <w:rPr>
          <w:color w:val="000000"/>
        </w:rPr>
        <w:t>.</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D120E6" w:rsidRDefault="008C61A2" w:rsidP="008C61A2">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3.2.5 </w:t>
      </w:r>
      <w:r w:rsidR="00D120E6">
        <w:t>Події після дати балансу</w:t>
      </w:r>
    </w:p>
    <w:p w:rsidR="004A7C6F" w:rsidRPr="004A7C6F" w:rsidRDefault="004A7C6F" w:rsidP="004A7C6F"/>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bdr w:val="none" w:sz="0" w:space="0" w:color="auto" w:frame="1"/>
        </w:rPr>
      </w:pPr>
      <w:r>
        <w:t xml:space="preserve">Під подіями після дати балансу кредитна спілка </w:t>
      </w:r>
      <w:r>
        <w:rPr>
          <w:color w:val="000000"/>
          <w:bdr w:val="none" w:sz="0" w:space="0" w:color="auto" w:frame="1"/>
        </w:rPr>
        <w:t xml:space="preserve">розуміє всі події до дати затвердження фінансової звітності до випуску, навіть якщо ці події відбуваються після оприлюднення фінансового результату чи іншої вибіркової фінансової інформації. Керуючись положеннями МСБО 10 під затвердженням фінансової звітності до випуску кредитна спілка розуміє дату затвердження річної фінансової звітності спостережною радою. Кредитна спілка розділяє події після дати балансу на такі, що вимагають коригування після звітного періоду, та такі, що не вимагають коригування після звітного періоду. Дата затвердження фінансової звітності до випуску та інформація про події після дати балансу наведені </w:t>
      </w:r>
      <w:r w:rsidR="00460372">
        <w:rPr>
          <w:color w:val="000000"/>
          <w:bdr w:val="none" w:sz="0" w:space="0" w:color="auto" w:frame="1"/>
        </w:rPr>
        <w:t>у примітці 11</w:t>
      </w:r>
      <w:r w:rsidRPr="006137EB">
        <w:rPr>
          <w:color w:val="000000"/>
          <w:bdr w:val="none" w:sz="0" w:space="0" w:color="auto" w:frame="1"/>
        </w:rPr>
        <w:t>.</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p>
    <w:p w:rsidR="00D120E6" w:rsidRDefault="00131932" w:rsidP="00131932">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3.2.6 </w:t>
      </w:r>
      <w:r w:rsidR="00D120E6">
        <w:t>Додаткові класифікації та оцінки, що стосуються кредитного портфеля.</w:t>
      </w:r>
    </w:p>
    <w:p w:rsidR="004A7C6F" w:rsidRPr="004A7C6F" w:rsidRDefault="004A7C6F" w:rsidP="004A7C6F"/>
    <w:p w:rsidR="00B42857"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lastRenderedPageBreak/>
        <w:t xml:space="preserve">Відповідно до вимог регулятора та Положення про фінансові послуги, кредитна спілка класифікує кредитний портфель за цільовим призначенням, за строками надання та виділяє та контролює кредити, які відносяться до кредитів з великим ризиком. Інформація щодо класифікації кредитного портфеля за цільовим призначенням у розрізі наданих кредитів, залишків по кредитах, пролонгованих кредитах та прострочених кредитах 2-4 рівня прострочення викладена у рядках 011-0153, графах 3-11 додатку 6 до Звітних даних «Звітні дані про кредитну діяльність кредитної спілки», що входять до складу річної звітності кредитної спілки, яку кредитна спілка подає до </w:t>
      </w:r>
      <w:proofErr w:type="spellStart"/>
      <w:r>
        <w:t>Нацкомфінпослуг</w:t>
      </w:r>
      <w:proofErr w:type="spellEnd"/>
      <w:r>
        <w:t xml:space="preserve">. Інформація щодо кредитів з великим ризиком відображена в графах 14-15 додатку 6 до Звітних даних «Звітні дані про кредитну діяльність кредитної спілки», що входять до складу річної звітності кредитної спілки, яку кредитна спілка подає до </w:t>
      </w:r>
      <w:proofErr w:type="spellStart"/>
      <w:r>
        <w:t>Нацкомфінпослуг</w:t>
      </w:r>
      <w:proofErr w:type="spellEnd"/>
      <w:r>
        <w:t xml:space="preserve">.   </w:t>
      </w:r>
    </w:p>
    <w:p w:rsidR="00B42857" w:rsidRDefault="00B4285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B42857" w:rsidRDefault="00B4285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  </w:t>
      </w:r>
    </w:p>
    <w:p w:rsidR="00D120E6" w:rsidRDefault="002A7D00" w:rsidP="002A7D00">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3.2.7  </w:t>
      </w:r>
      <w:r w:rsidR="00D120E6">
        <w:t xml:space="preserve"> Управління ризиками.</w:t>
      </w:r>
    </w:p>
    <w:p w:rsidR="004A7C6F" w:rsidRPr="004A7C6F" w:rsidRDefault="004A7C6F" w:rsidP="004A7C6F"/>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Відповідно до Політики з управління ризиками, що затверджена спостережною радою кредитної спілки, кредитна спілка ідентифікує ризик ліквідності, ринковий ризик та кредитний ризик, як основні можливі ризики діяльності кредитної спілки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napToGrid w:val="0"/>
          <w:lang w:eastAsia="uk-UA"/>
        </w:rPr>
      </w:pPr>
      <w:r>
        <w:rPr>
          <w:b/>
        </w:rPr>
        <w:t>Ризик ліквідності</w:t>
      </w:r>
      <w:r>
        <w:t xml:space="preserve"> стосується наявності достатніх коштів для повернення внесків і погашення інших фінансових зобов’язань, пов’язаних із фінансовими </w:t>
      </w:r>
      <w:r>
        <w:rPr>
          <w:snapToGrid w:val="0"/>
          <w:lang w:eastAsia="uk-UA"/>
        </w:rPr>
        <w:t>інструментами, при настанні терміну їхнього погашення.</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napToGrid w:val="0"/>
          <w:lang w:eastAsia="uk-UA"/>
        </w:rPr>
      </w:pPr>
      <w:r>
        <w:rPr>
          <w:snapToGrid w:val="0"/>
          <w:lang w:eastAsia="uk-UA"/>
        </w:rPr>
        <w:t>Виникає через неспроможність кредитної спілки запобігти зменшенню обсягів зобов’язань або фінансувати збільшення кредитного портфеля. Визначається обсягом неотриманих доходів у разі вимушеного продажу активів за поточною вартістю для покриття розриву ліквідності або розміром надлишкових витрат, які понесені у разі вимушеного залучення пасивів для вирішення проблем, пов’язаних з нестачею ліквідних активів.</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uk-UA"/>
        </w:rPr>
      </w:pPr>
      <w:r>
        <w:rPr>
          <w:lang w:eastAsia="uk-UA"/>
        </w:rPr>
        <w:t xml:space="preserve">Основним органом управління ризиком ліквідності є правління кредитної спілки, до повноважень якого входить прийняття управлінських рішень з управління ліквідністю, розробка пропозицій щодо залучення коштів тощо.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uk-UA"/>
        </w:rPr>
      </w:pPr>
      <w:r>
        <w:rPr>
          <w:lang w:eastAsia="uk-UA"/>
        </w:rPr>
        <w:t>Для управління ризиком ліквідності кредитна спілка використовує наступні методи:</w:t>
      </w:r>
    </w:p>
    <w:p w:rsidR="00D120E6" w:rsidRDefault="00D120E6" w:rsidP="00D120E6">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lang w:eastAsia="uk-UA"/>
        </w:rPr>
      </w:pPr>
      <w:r>
        <w:rPr>
          <w:lang w:eastAsia="uk-UA"/>
        </w:rPr>
        <w:t>контроль за фінансовими нормативами щодо ліквідності відповідно до вимог Національної комісії з регулювання ринків фінансових послуг;</w:t>
      </w:r>
    </w:p>
    <w:p w:rsidR="00D120E6" w:rsidRDefault="00D120E6" w:rsidP="00D120E6">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lang w:eastAsia="uk-UA"/>
        </w:rPr>
      </w:pPr>
      <w:r>
        <w:rPr>
          <w:lang w:eastAsia="uk-UA"/>
        </w:rPr>
        <w:t>обмеження щодо залучення короткострокових фінансових зобов’язань або обмеження щодо довгострокового кредитування;</w:t>
      </w:r>
    </w:p>
    <w:p w:rsidR="00D120E6" w:rsidRDefault="00D120E6" w:rsidP="00D120E6">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lang w:eastAsia="uk-UA"/>
        </w:rPr>
      </w:pPr>
      <w:r>
        <w:rPr>
          <w:lang w:eastAsia="uk-UA"/>
        </w:rPr>
        <w:t>впровадження збалансованої процентної політики, яка зорієнтована на довгострокове залучення та короткострокове кредитування.</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Аналіз фінансових активів та фінансових зобов’язань за строками погашення наведено в </w:t>
      </w:r>
      <w:r w:rsidR="00460372">
        <w:t>Таблиці 1 Примітки 9</w:t>
      </w:r>
      <w:r w:rsidRPr="002A7D00">
        <w:rPr>
          <w:highlight w:val="yellow"/>
        </w:rPr>
        <w:t>.</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r>
        <w:rPr>
          <w:b/>
        </w:rPr>
        <w:t>Ринковий ризик</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uk-UA"/>
        </w:rPr>
      </w:pPr>
      <w:r>
        <w:rPr>
          <w:lang w:eastAsia="uk-UA"/>
        </w:rPr>
        <w:t>Ринковий ризик — ризик того, що справедлива вартість або майбутні грошові потоки від фінансового інструмента коливатимуться внаслідок змін ринкових цін. Ринковий ризик охоплює три типи ризику: валютний ризик, відсотковий ризик та інший ціновий ризик.</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Враховуючи те, що процентні ставки за кредитами та внесками не залежать від коливань відсоткових ставок або валютних курсів, кредитна спілка вважає ринковий ризик несуттєвим.</w:t>
      </w:r>
      <w:r>
        <w:rPr>
          <w:b/>
        </w:rPr>
        <w:t xml:space="preserve"> </w:t>
      </w:r>
      <w:r>
        <w:t>Кредитна спілка нараховує відсотки за фіксованими процентними ставками відповідно до процентної політики, встановленої спостережною радою.</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r>
        <w:rPr>
          <w:b/>
        </w:rPr>
        <w:t>Кредитний ризик</w:t>
      </w:r>
    </w:p>
    <w:p w:rsidR="00D120E6" w:rsidRDefault="00D120E6" w:rsidP="00D120E6">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 xml:space="preserve">Кредитний ризик – це наявний або потенційний ризик того, що одна сторона контракту про фінансовий інструмент не зможе виконати зобов'язання і це буде причиною виникнення фінансового збитку іншої сторони. Кредитний ризик виникає в результаті кредитних операцій кредитної спілки з членами, внаслідок яких виникають фінансові активи.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Управління кредитним ризиком здійснюється шляхом прийняття управлінських рішень, спрямованих на досягнення мети одержання максимально можливих доходів при мінімальному </w:t>
      </w:r>
      <w:r>
        <w:lastRenderedPageBreak/>
        <w:t>ризику збитків на основі проведення кількісного і якісного аналізу кредитного портфеля кредитної спілки. Критерії оцінки фінансового стану позичальника встановлюються Положенням кредитної спілки про фінансові послуги та окремими рішеннями спостережної ради.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Цілями управління кредитним ризиком є:</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участь у затвердженні та нагляд за всіма кредитними зобов’язаннями позичальників відповідно до внутрішніх процедур.</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забезпечення збалансованої структури загального кредитного портфеля;</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забезпечення належного формування резервів у відповідності з прийнятими ризиками.</w:t>
      </w:r>
    </w:p>
    <w:p w:rsidR="00D120E6" w:rsidRDefault="00D120E6" w:rsidP="00D120E6">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Кредитний ризик мінімізується за рахунок формування резервів, лімітування кредитних операцій, формування ефективної процентної політики, постійного кількісного та якісного аналізу кредитного портфеля, диверсифікації кредитного портфеля, підтримки на достатньому рівні власного капіталу.</w:t>
      </w:r>
    </w:p>
    <w:p w:rsidR="00D120E6" w:rsidRDefault="00D120E6" w:rsidP="00D120E6">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Методами управління кредитним ризиком є:</w:t>
      </w:r>
    </w:p>
    <w:p w:rsidR="00D120E6" w:rsidRDefault="00D120E6" w:rsidP="00D120E6">
      <w:pPr>
        <w:pStyle w:val="af9"/>
        <w:numPr>
          <w:ilvl w:val="0"/>
          <w:numId w:val="10"/>
        </w:numPr>
        <w:ind w:left="0" w:firstLine="709"/>
        <w:rPr>
          <w:sz w:val="24"/>
          <w:szCs w:val="24"/>
        </w:rPr>
      </w:pPr>
      <w:r>
        <w:rPr>
          <w:sz w:val="24"/>
          <w:szCs w:val="24"/>
        </w:rPr>
        <w:t>вивчення та оцінка кредитоспроможності позичальника;</w:t>
      </w:r>
    </w:p>
    <w:p w:rsidR="00D120E6" w:rsidRDefault="00D120E6" w:rsidP="00D120E6">
      <w:pPr>
        <w:pStyle w:val="af9"/>
        <w:numPr>
          <w:ilvl w:val="0"/>
          <w:numId w:val="10"/>
        </w:numPr>
        <w:ind w:left="0" w:firstLine="709"/>
        <w:rPr>
          <w:sz w:val="24"/>
          <w:szCs w:val="24"/>
        </w:rPr>
      </w:pPr>
      <w:r>
        <w:rPr>
          <w:sz w:val="24"/>
          <w:szCs w:val="24"/>
        </w:rPr>
        <w:t xml:space="preserve">забезпечення кредитів; </w:t>
      </w:r>
    </w:p>
    <w:p w:rsidR="00D120E6" w:rsidRDefault="00D120E6" w:rsidP="00D120E6">
      <w:pPr>
        <w:pStyle w:val="af9"/>
        <w:numPr>
          <w:ilvl w:val="0"/>
          <w:numId w:val="10"/>
        </w:numPr>
        <w:ind w:left="0" w:firstLine="709"/>
        <w:rPr>
          <w:sz w:val="24"/>
          <w:szCs w:val="24"/>
        </w:rPr>
      </w:pPr>
      <w:r>
        <w:rPr>
          <w:sz w:val="24"/>
          <w:szCs w:val="24"/>
        </w:rPr>
        <w:t>спостереження за дебіторською заборгованістю (моніторинг);</w:t>
      </w:r>
    </w:p>
    <w:p w:rsidR="00D120E6" w:rsidRDefault="00D120E6" w:rsidP="00D120E6">
      <w:pPr>
        <w:pStyle w:val="af9"/>
        <w:numPr>
          <w:ilvl w:val="0"/>
          <w:numId w:val="10"/>
        </w:numPr>
        <w:ind w:left="0" w:firstLine="709"/>
        <w:rPr>
          <w:sz w:val="24"/>
          <w:szCs w:val="24"/>
        </w:rPr>
      </w:pPr>
      <w:r>
        <w:rPr>
          <w:sz w:val="24"/>
          <w:szCs w:val="24"/>
        </w:rPr>
        <w:t xml:space="preserve">диверсифікація та/або концентрація кредитного портфеля; </w:t>
      </w:r>
    </w:p>
    <w:p w:rsidR="00D120E6" w:rsidRDefault="00D120E6" w:rsidP="00D120E6">
      <w:pPr>
        <w:pStyle w:val="af9"/>
        <w:numPr>
          <w:ilvl w:val="0"/>
          <w:numId w:val="10"/>
        </w:numPr>
        <w:ind w:left="0" w:firstLine="709"/>
        <w:rPr>
          <w:sz w:val="24"/>
          <w:szCs w:val="24"/>
        </w:rPr>
      </w:pPr>
      <w:r>
        <w:rPr>
          <w:sz w:val="24"/>
          <w:szCs w:val="24"/>
        </w:rPr>
        <w:t>створення резервів.</w:t>
      </w:r>
    </w:p>
    <w:p w:rsidR="00D120E6" w:rsidRDefault="00D120E6" w:rsidP="00D120E6">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Дані методи взаємозалежні, часто випливають один з одного та доповнюють один одного, тому для найбільш ефективних результатів кредитна спілка практикує їх комплексне застосування.</w:t>
      </w:r>
    </w:p>
    <w:p w:rsidR="00D120E6" w:rsidRDefault="00D120E6" w:rsidP="00D120E6">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Для оцінки та аналізу фактичного рівня кредитного ризику використовуються обов’язкові вимоги до виміру кредитного ризику, встановлені відповідними Розпорядженнями регулятора, зокрема, Розпорядження №7.</w:t>
      </w:r>
    </w:p>
    <w:p w:rsidR="00D120E6" w:rsidRDefault="00D120E6" w:rsidP="00D120E6">
      <w:pPr>
        <w:pStyle w:val="HTML"/>
        <w:shd w:val="clear" w:color="auto" w:fill="FFFFFF"/>
        <w:ind w:firstLine="709"/>
        <w:textAlignment w:val="baseline"/>
        <w:rPr>
          <w:rFonts w:ascii="Times New Roman" w:hAnsi="Times New Roman" w:cs="Times New Roman"/>
          <w:color w:val="auto"/>
          <w:sz w:val="24"/>
          <w:szCs w:val="24"/>
        </w:rPr>
      </w:pPr>
      <w:r>
        <w:rPr>
          <w:rFonts w:ascii="Times New Roman" w:hAnsi="Times New Roman" w:cs="Times New Roman"/>
          <w:color w:val="auto"/>
          <w:sz w:val="24"/>
          <w:szCs w:val="24"/>
        </w:rPr>
        <w:t xml:space="preserve">Кредитна спілка здійснює контроль за виконанням вимог </w:t>
      </w:r>
      <w:proofErr w:type="spellStart"/>
      <w:r>
        <w:rPr>
          <w:rFonts w:ascii="Times New Roman" w:hAnsi="Times New Roman" w:cs="Times New Roman"/>
          <w:color w:val="auto"/>
          <w:sz w:val="24"/>
          <w:szCs w:val="24"/>
        </w:rPr>
        <w:t>Нацкомфінпослуг</w:t>
      </w:r>
      <w:proofErr w:type="spellEnd"/>
      <w:r>
        <w:rPr>
          <w:rFonts w:ascii="Times New Roman" w:hAnsi="Times New Roman" w:cs="Times New Roman"/>
          <w:color w:val="auto"/>
          <w:sz w:val="24"/>
          <w:szCs w:val="24"/>
        </w:rPr>
        <w:t xml:space="preserve"> до кредитних спілок, визначених Розпорядженням №7, </w:t>
      </w:r>
      <w:proofErr w:type="spellStart"/>
      <w:r>
        <w:rPr>
          <w:rFonts w:ascii="Times New Roman" w:hAnsi="Times New Roman" w:cs="Times New Roman"/>
          <w:color w:val="auto"/>
          <w:sz w:val="24"/>
          <w:szCs w:val="24"/>
        </w:rPr>
        <w:t>поопераційно</w:t>
      </w:r>
      <w:proofErr w:type="spellEnd"/>
      <w:r>
        <w:rPr>
          <w:rFonts w:ascii="Times New Roman" w:hAnsi="Times New Roman" w:cs="Times New Roman"/>
          <w:color w:val="auto"/>
          <w:sz w:val="24"/>
          <w:szCs w:val="24"/>
        </w:rPr>
        <w:t>, щоденно та щомісячно.</w:t>
      </w:r>
    </w:p>
    <w:p w:rsidR="00D120E6" w:rsidRDefault="00D120E6" w:rsidP="00D120E6">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У процесі управління кредитним ризиком беруть участь наступні структурні підрозділи кредитної спілки:</w:t>
      </w:r>
    </w:p>
    <w:p w:rsidR="00D120E6" w:rsidRDefault="00D120E6" w:rsidP="00D120E6">
      <w:pPr>
        <w:pStyle w:val="af9"/>
        <w:numPr>
          <w:ilvl w:val="0"/>
          <w:numId w:val="11"/>
        </w:numPr>
        <w:ind w:left="0" w:firstLine="709"/>
        <w:rPr>
          <w:sz w:val="24"/>
          <w:szCs w:val="24"/>
        </w:rPr>
      </w:pPr>
      <w:r>
        <w:rPr>
          <w:sz w:val="24"/>
          <w:szCs w:val="24"/>
        </w:rPr>
        <w:t>правління кредитної спілки,</w:t>
      </w:r>
    </w:p>
    <w:p w:rsidR="00D120E6" w:rsidRDefault="00D120E6" w:rsidP="00D120E6">
      <w:pPr>
        <w:pStyle w:val="af9"/>
        <w:numPr>
          <w:ilvl w:val="0"/>
          <w:numId w:val="11"/>
        </w:numPr>
        <w:ind w:left="0" w:firstLine="709"/>
        <w:rPr>
          <w:sz w:val="24"/>
          <w:szCs w:val="24"/>
        </w:rPr>
      </w:pPr>
      <w:r>
        <w:rPr>
          <w:sz w:val="24"/>
          <w:szCs w:val="24"/>
        </w:rPr>
        <w:t>кредитний комітет.</w:t>
      </w:r>
    </w:p>
    <w:p w:rsidR="00D120E6" w:rsidRDefault="00D120E6" w:rsidP="00D120E6">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Загальне управління кредитним ризиком покладене на кредитний комітет кредитної спілки.</w:t>
      </w:r>
    </w:p>
    <w:p w:rsidR="00D120E6" w:rsidRDefault="00D120E6" w:rsidP="00D120E6">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 xml:space="preserve">До основних функцій кредитного комітету належить аналіз структури кредитного портфеля та необхідного розміру резерву покриття втрат від неповернених позичок, прийняття рішень щодо заходів із повернення простроченої та безнадійної заборгованості. </w:t>
      </w:r>
    </w:p>
    <w:p w:rsidR="00D120E6" w:rsidRDefault="00D120E6" w:rsidP="00D120E6">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Поточне управління кредитним ризиком здійснюється правлінням кредитної спілки.</w:t>
      </w:r>
    </w:p>
    <w:p w:rsidR="00D120E6" w:rsidRDefault="00D120E6" w:rsidP="00D120E6">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Основними завданнями поточного управління є забезпечення кредитної діяльності, економічно доцільне і оптимальне розміщення наявних ресурсів, контроль за кредитною діяльністю відокремлених підрозділів кредитної спілки, оцінка кредитного ризику та розрахунок резерву покриття втрат від неповернених позичок. Правління визначає вартість заставного майна, бере участь у здійсненні перевірок за станом заставленого майна, організує продаж заставленого майна.</w:t>
      </w:r>
    </w:p>
    <w:p w:rsidR="00F960AF" w:rsidRPr="00F960AF" w:rsidRDefault="00D120E6"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Деталізація інформації щодо кредитного ризику та розрахунки нормативів якості активів наведено у </w:t>
      </w:r>
      <w:r w:rsidR="00460372">
        <w:t>таблиці 2 Примітки 9</w:t>
      </w:r>
      <w:r w:rsidRPr="006137EB">
        <w:t>.</w:t>
      </w:r>
    </w:p>
    <w:tbl>
      <w:tblPr>
        <w:tblW w:w="10065" w:type="dxa"/>
        <w:tblInd w:w="-34" w:type="dxa"/>
        <w:tblLook w:val="04A0" w:firstRow="1" w:lastRow="0" w:firstColumn="1" w:lastColumn="0" w:noHBand="0" w:noVBand="1"/>
      </w:tblPr>
      <w:tblGrid>
        <w:gridCol w:w="2552"/>
        <w:gridCol w:w="1381"/>
        <w:gridCol w:w="1217"/>
        <w:gridCol w:w="959"/>
        <w:gridCol w:w="1026"/>
        <w:gridCol w:w="2930"/>
      </w:tblGrid>
      <w:tr w:rsidR="00D120E6" w:rsidTr="00B42857">
        <w:trPr>
          <w:trHeight w:val="255"/>
        </w:trPr>
        <w:tc>
          <w:tcPr>
            <w:tcW w:w="2552" w:type="dxa"/>
            <w:tcBorders>
              <w:top w:val="nil"/>
            </w:tcBorders>
          </w:tcPr>
          <w:p w:rsidR="00D120E6" w:rsidRPr="00B42857" w:rsidRDefault="00D120E6" w:rsidP="00B42857"/>
        </w:tc>
        <w:tc>
          <w:tcPr>
            <w:tcW w:w="1381" w:type="dxa"/>
            <w:tcBorders>
              <w:top w:val="nil"/>
              <w:left w:val="nil"/>
            </w:tcBorders>
          </w:tcPr>
          <w:p w:rsidR="00D120E6" w:rsidRPr="00B42857" w:rsidRDefault="00D120E6" w:rsidP="00B42857"/>
        </w:tc>
        <w:tc>
          <w:tcPr>
            <w:tcW w:w="1217" w:type="dxa"/>
            <w:tcBorders>
              <w:top w:val="nil"/>
            </w:tcBorders>
            <w:vAlign w:val="bottom"/>
          </w:tcPr>
          <w:p w:rsidR="00D120E6" w:rsidRPr="00B42857" w:rsidRDefault="00D120E6" w:rsidP="00B42857"/>
        </w:tc>
        <w:tc>
          <w:tcPr>
            <w:tcW w:w="959" w:type="dxa"/>
            <w:tcBorders>
              <w:top w:val="nil"/>
            </w:tcBorders>
            <w:vAlign w:val="bottom"/>
          </w:tcPr>
          <w:p w:rsidR="00D120E6" w:rsidRPr="00B42857" w:rsidRDefault="00D120E6" w:rsidP="00B42857"/>
        </w:tc>
        <w:tc>
          <w:tcPr>
            <w:tcW w:w="1026" w:type="dxa"/>
            <w:tcBorders>
              <w:top w:val="nil"/>
            </w:tcBorders>
            <w:vAlign w:val="bottom"/>
          </w:tcPr>
          <w:p w:rsidR="00D120E6" w:rsidRPr="00B42857" w:rsidRDefault="00D120E6" w:rsidP="00B42857"/>
        </w:tc>
        <w:tc>
          <w:tcPr>
            <w:tcW w:w="2930" w:type="dxa"/>
            <w:tcBorders>
              <w:top w:val="nil"/>
            </w:tcBorders>
            <w:vAlign w:val="bottom"/>
          </w:tcPr>
          <w:p w:rsidR="00D120E6" w:rsidRPr="00B42857" w:rsidRDefault="00D120E6" w:rsidP="00B42857"/>
        </w:tc>
      </w:tr>
      <w:tr w:rsidR="00D120E6" w:rsidTr="00B42857">
        <w:trPr>
          <w:trHeight w:val="720"/>
        </w:trPr>
        <w:tc>
          <w:tcPr>
            <w:tcW w:w="2552" w:type="dxa"/>
          </w:tcPr>
          <w:p w:rsidR="00D120E6" w:rsidRDefault="00D120E6" w:rsidP="00B42857"/>
          <w:p w:rsidR="00B42857" w:rsidRPr="00B42857" w:rsidRDefault="00B42857" w:rsidP="00B42857"/>
        </w:tc>
        <w:tc>
          <w:tcPr>
            <w:tcW w:w="1381" w:type="dxa"/>
            <w:tcBorders>
              <w:top w:val="nil"/>
            </w:tcBorders>
          </w:tcPr>
          <w:p w:rsidR="00D120E6" w:rsidRPr="00B42857" w:rsidRDefault="00D120E6" w:rsidP="00B42857"/>
        </w:tc>
        <w:tc>
          <w:tcPr>
            <w:tcW w:w="1217" w:type="dxa"/>
            <w:tcBorders>
              <w:top w:val="nil"/>
            </w:tcBorders>
            <w:vAlign w:val="bottom"/>
          </w:tcPr>
          <w:p w:rsidR="00D120E6" w:rsidRPr="00B42857" w:rsidRDefault="00D120E6" w:rsidP="00B42857"/>
        </w:tc>
        <w:tc>
          <w:tcPr>
            <w:tcW w:w="959" w:type="dxa"/>
            <w:tcBorders>
              <w:top w:val="nil"/>
            </w:tcBorders>
            <w:vAlign w:val="bottom"/>
          </w:tcPr>
          <w:p w:rsidR="00D120E6" w:rsidRPr="00B42857" w:rsidRDefault="00D120E6" w:rsidP="00B42857"/>
        </w:tc>
        <w:tc>
          <w:tcPr>
            <w:tcW w:w="1026" w:type="dxa"/>
            <w:tcBorders>
              <w:top w:val="nil"/>
            </w:tcBorders>
            <w:vAlign w:val="bottom"/>
          </w:tcPr>
          <w:p w:rsidR="00D120E6" w:rsidRPr="00B42857" w:rsidRDefault="00D120E6" w:rsidP="00B42857"/>
        </w:tc>
        <w:tc>
          <w:tcPr>
            <w:tcW w:w="2930" w:type="dxa"/>
            <w:tcBorders>
              <w:top w:val="nil"/>
            </w:tcBorders>
            <w:vAlign w:val="bottom"/>
          </w:tcPr>
          <w:p w:rsidR="00D120E6" w:rsidRPr="00B42857" w:rsidRDefault="00D120E6" w:rsidP="00B42857"/>
        </w:tc>
      </w:tr>
      <w:tr w:rsidR="00D120E6" w:rsidTr="00B42857">
        <w:trPr>
          <w:trHeight w:val="255"/>
        </w:trPr>
        <w:tc>
          <w:tcPr>
            <w:tcW w:w="2552" w:type="dxa"/>
            <w:tcBorders>
              <w:top w:val="nil"/>
            </w:tcBorders>
          </w:tcPr>
          <w:p w:rsidR="00D120E6" w:rsidRPr="00B42857" w:rsidRDefault="00D120E6" w:rsidP="00B42857"/>
        </w:tc>
        <w:tc>
          <w:tcPr>
            <w:tcW w:w="1381" w:type="dxa"/>
            <w:tcBorders>
              <w:top w:val="nil"/>
            </w:tcBorders>
          </w:tcPr>
          <w:p w:rsidR="00D120E6" w:rsidRPr="00B42857" w:rsidRDefault="00D120E6" w:rsidP="00B42857"/>
        </w:tc>
        <w:tc>
          <w:tcPr>
            <w:tcW w:w="1217" w:type="dxa"/>
            <w:tcBorders>
              <w:top w:val="nil"/>
            </w:tcBorders>
            <w:vAlign w:val="bottom"/>
          </w:tcPr>
          <w:p w:rsidR="00D120E6" w:rsidRPr="00B42857" w:rsidRDefault="00D120E6" w:rsidP="00B42857"/>
        </w:tc>
        <w:tc>
          <w:tcPr>
            <w:tcW w:w="959" w:type="dxa"/>
            <w:tcBorders>
              <w:top w:val="nil"/>
            </w:tcBorders>
            <w:vAlign w:val="bottom"/>
          </w:tcPr>
          <w:p w:rsidR="00D120E6" w:rsidRPr="00B42857" w:rsidRDefault="00D120E6" w:rsidP="00B42857"/>
        </w:tc>
        <w:tc>
          <w:tcPr>
            <w:tcW w:w="1026" w:type="dxa"/>
            <w:tcBorders>
              <w:top w:val="nil"/>
            </w:tcBorders>
            <w:vAlign w:val="bottom"/>
          </w:tcPr>
          <w:p w:rsidR="00D120E6" w:rsidRPr="00B42857" w:rsidRDefault="00D120E6" w:rsidP="00B42857"/>
        </w:tc>
        <w:tc>
          <w:tcPr>
            <w:tcW w:w="2930" w:type="dxa"/>
            <w:tcBorders>
              <w:top w:val="nil"/>
            </w:tcBorders>
            <w:vAlign w:val="bottom"/>
          </w:tcPr>
          <w:p w:rsidR="00D120E6" w:rsidRPr="00B42857" w:rsidRDefault="00D120E6" w:rsidP="00B42857"/>
        </w:tc>
      </w:tr>
      <w:tr w:rsidR="00D120E6" w:rsidTr="00B42857">
        <w:trPr>
          <w:trHeight w:val="255"/>
        </w:trPr>
        <w:tc>
          <w:tcPr>
            <w:tcW w:w="2552" w:type="dxa"/>
            <w:tcBorders>
              <w:top w:val="nil"/>
            </w:tcBorders>
          </w:tcPr>
          <w:p w:rsidR="00D120E6" w:rsidRPr="00B42857" w:rsidRDefault="00D120E6" w:rsidP="00B42857"/>
        </w:tc>
        <w:tc>
          <w:tcPr>
            <w:tcW w:w="1381" w:type="dxa"/>
            <w:tcBorders>
              <w:top w:val="nil"/>
            </w:tcBorders>
          </w:tcPr>
          <w:p w:rsidR="00D120E6" w:rsidRPr="00B42857" w:rsidRDefault="00D120E6" w:rsidP="00B42857"/>
        </w:tc>
        <w:tc>
          <w:tcPr>
            <w:tcW w:w="1217" w:type="dxa"/>
            <w:tcBorders>
              <w:top w:val="nil"/>
            </w:tcBorders>
            <w:vAlign w:val="bottom"/>
          </w:tcPr>
          <w:p w:rsidR="00D120E6" w:rsidRPr="00B42857" w:rsidRDefault="00D120E6" w:rsidP="00B42857"/>
        </w:tc>
        <w:tc>
          <w:tcPr>
            <w:tcW w:w="959" w:type="dxa"/>
            <w:tcBorders>
              <w:top w:val="nil"/>
            </w:tcBorders>
            <w:vAlign w:val="bottom"/>
          </w:tcPr>
          <w:p w:rsidR="00D120E6" w:rsidRPr="00B42857" w:rsidRDefault="00D120E6" w:rsidP="00B42857"/>
        </w:tc>
        <w:tc>
          <w:tcPr>
            <w:tcW w:w="1026" w:type="dxa"/>
            <w:tcBorders>
              <w:top w:val="nil"/>
            </w:tcBorders>
            <w:vAlign w:val="bottom"/>
          </w:tcPr>
          <w:p w:rsidR="00D120E6" w:rsidRPr="00B42857" w:rsidRDefault="00D120E6" w:rsidP="00B42857"/>
        </w:tc>
        <w:tc>
          <w:tcPr>
            <w:tcW w:w="2930" w:type="dxa"/>
            <w:tcBorders>
              <w:top w:val="nil"/>
            </w:tcBorders>
            <w:vAlign w:val="bottom"/>
          </w:tcPr>
          <w:p w:rsidR="00D120E6" w:rsidRPr="00B42857" w:rsidRDefault="00D120E6" w:rsidP="00B42857"/>
        </w:tc>
      </w:tr>
    </w:tbl>
    <w:p w:rsidR="00D120E6" w:rsidRDefault="00D120E6" w:rsidP="00D120E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Інформація, що підтверджує статті, подані у звіті про фінансовий стан</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hAnsi="Cambria"/>
          <w:i/>
          <w:iCs/>
          <w:color w:val="4F81BD"/>
        </w:rPr>
        <w:sectPr w:rsidR="00D120E6">
          <w:pgSz w:w="11906" w:h="16838"/>
          <w:pgMar w:top="851" w:right="851" w:bottom="851" w:left="1134" w:header="708" w:footer="708" w:gutter="0"/>
          <w:cols w:space="720"/>
        </w:sectPr>
      </w:pPr>
    </w:p>
    <w:p w:rsidR="00D120E6" w:rsidRDefault="004A7C6F" w:rsidP="00230D08">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bookmarkStart w:id="9" w:name="n285"/>
      <w:bookmarkStart w:id="10" w:name="n373"/>
      <w:bookmarkEnd w:id="9"/>
      <w:bookmarkEnd w:id="10"/>
      <w:r>
        <w:lastRenderedPageBreak/>
        <w:t>Примітка 4</w:t>
      </w:r>
      <w:r w:rsidR="00230D08">
        <w:t xml:space="preserve">.1 </w:t>
      </w:r>
      <w:r w:rsidR="00D120E6">
        <w:t>Основні засоби та нематеріальні активи (рядки 1000-1012)</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8"/>
        <w:rPr>
          <w:sz w:val="20"/>
          <w:szCs w:val="20"/>
          <w:lang w:eastAsia="uk-UA"/>
        </w:rPr>
      </w:pPr>
      <w:r>
        <w:rPr>
          <w:sz w:val="20"/>
          <w:szCs w:val="20"/>
          <w:lang w:eastAsia="uk-UA"/>
        </w:rPr>
        <w:t xml:space="preserve">Основні засоби та нематеріальні активи оприбутковуються за первісною вартістю, яка включає всі витрати по їх придбанню та виготовленню.  Залишкова вартість основних засобів визначається як різниця між первісною вартістю та сумою нарахованої амортизації. В Таблиці нижче наведена детальна інформація щодо руху та складових статті Балансу (Звіту про фінансовий стан) «Нематеріальні активи» (рядки 1000-1002)  </w:t>
      </w:r>
    </w:p>
    <w:tbl>
      <w:tblPr>
        <w:tblW w:w="17430" w:type="dxa"/>
        <w:tblInd w:w="108" w:type="dxa"/>
        <w:tblLayout w:type="fixed"/>
        <w:tblLook w:val="04A0" w:firstRow="1" w:lastRow="0" w:firstColumn="1" w:lastColumn="0" w:noHBand="0" w:noVBand="1"/>
      </w:tblPr>
      <w:tblGrid>
        <w:gridCol w:w="4595"/>
        <w:gridCol w:w="889"/>
        <w:gridCol w:w="696"/>
        <w:gridCol w:w="995"/>
        <w:gridCol w:w="1171"/>
        <w:gridCol w:w="821"/>
        <w:gridCol w:w="1149"/>
        <w:gridCol w:w="1297"/>
        <w:gridCol w:w="697"/>
        <w:gridCol w:w="817"/>
        <w:gridCol w:w="924"/>
        <w:gridCol w:w="1125"/>
        <w:gridCol w:w="296"/>
        <w:gridCol w:w="260"/>
        <w:gridCol w:w="260"/>
        <w:gridCol w:w="260"/>
        <w:gridCol w:w="1178"/>
      </w:tblGrid>
      <w:tr w:rsidR="00D120E6" w:rsidTr="00D120E6">
        <w:trPr>
          <w:trHeight w:val="450"/>
        </w:trPr>
        <w:tc>
          <w:tcPr>
            <w:tcW w:w="4595" w:type="dxa"/>
            <w:vMerge w:val="restart"/>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Групи нематеріальних активів</w:t>
            </w:r>
          </w:p>
        </w:tc>
        <w:tc>
          <w:tcPr>
            <w:tcW w:w="1585" w:type="dxa"/>
            <w:gridSpan w:val="2"/>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Залишок на початок року</w:t>
            </w: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Надійшло за рік</w:t>
            </w:r>
          </w:p>
        </w:tc>
        <w:tc>
          <w:tcPr>
            <w:tcW w:w="1992" w:type="dxa"/>
            <w:gridSpan w:val="2"/>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Вибуло за рік</w:t>
            </w:r>
          </w:p>
        </w:tc>
        <w:tc>
          <w:tcPr>
            <w:tcW w:w="1149" w:type="dxa"/>
            <w:vMerge w:val="restart"/>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Нараховано амортизації</w:t>
            </w:r>
          </w:p>
        </w:tc>
        <w:tc>
          <w:tcPr>
            <w:tcW w:w="1297" w:type="dxa"/>
            <w:vMerge w:val="restart"/>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 xml:space="preserve">Втрати від зменшення корисності </w:t>
            </w:r>
          </w:p>
        </w:tc>
        <w:tc>
          <w:tcPr>
            <w:tcW w:w="1514" w:type="dxa"/>
            <w:gridSpan w:val="2"/>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Інші зміни за рік</w:t>
            </w:r>
          </w:p>
        </w:tc>
        <w:tc>
          <w:tcPr>
            <w:tcW w:w="2049" w:type="dxa"/>
            <w:gridSpan w:val="2"/>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Залишок на кінець року</w:t>
            </w:r>
          </w:p>
        </w:tc>
        <w:tc>
          <w:tcPr>
            <w:tcW w:w="296"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1178"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1035"/>
        </w:trPr>
        <w:tc>
          <w:tcPr>
            <w:tcW w:w="4595"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89"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первісна вартість</w:t>
            </w:r>
          </w:p>
        </w:tc>
        <w:tc>
          <w:tcPr>
            <w:tcW w:w="696"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накопичена амортизація</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1171"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первісна  вартість</w:t>
            </w:r>
          </w:p>
        </w:tc>
        <w:tc>
          <w:tcPr>
            <w:tcW w:w="821"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накопичена амортизація</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697"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первісної  вартості</w:t>
            </w:r>
          </w:p>
        </w:tc>
        <w:tc>
          <w:tcPr>
            <w:tcW w:w="817"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накопиченої амортизації</w:t>
            </w:r>
          </w:p>
        </w:tc>
        <w:tc>
          <w:tcPr>
            <w:tcW w:w="924"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первісна  вартість</w:t>
            </w:r>
          </w:p>
        </w:tc>
        <w:tc>
          <w:tcPr>
            <w:tcW w:w="1125"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накопичена амортизація</w:t>
            </w:r>
          </w:p>
        </w:tc>
        <w:tc>
          <w:tcPr>
            <w:tcW w:w="296"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1178"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765"/>
        </w:trPr>
        <w:tc>
          <w:tcPr>
            <w:tcW w:w="4595"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rPr>
                <w:sz w:val="18"/>
                <w:szCs w:val="18"/>
                <w:lang w:eastAsia="uk-UA"/>
              </w:rPr>
            </w:pPr>
            <w:r>
              <w:rPr>
                <w:sz w:val="18"/>
                <w:szCs w:val="18"/>
                <w:lang w:eastAsia="uk-UA"/>
              </w:rPr>
              <w:t>Ліцензії на здійснення діяльності з 28.06.2015 строк експлуатації не обмежений</w:t>
            </w:r>
          </w:p>
        </w:tc>
        <w:tc>
          <w:tcPr>
            <w:tcW w:w="889"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696"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995"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1171"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1149"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1297"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697"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817"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924"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1125"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296"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1178"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240"/>
        </w:trPr>
        <w:tc>
          <w:tcPr>
            <w:tcW w:w="4595" w:type="dxa"/>
            <w:tcBorders>
              <w:top w:val="single" w:sz="4" w:space="0" w:color="auto"/>
              <w:left w:val="single" w:sz="4" w:space="0" w:color="auto"/>
              <w:bottom w:val="single" w:sz="4" w:space="0" w:color="auto"/>
              <w:right w:val="single" w:sz="4" w:space="0" w:color="auto"/>
            </w:tcBorders>
            <w:vAlign w:val="center"/>
            <w:hideMark/>
          </w:tcPr>
          <w:p w:rsidR="00D120E6" w:rsidRDefault="00D120E6">
            <w:pPr>
              <w:rPr>
                <w:sz w:val="18"/>
                <w:szCs w:val="18"/>
                <w:lang w:eastAsia="uk-UA"/>
              </w:rPr>
            </w:pPr>
            <w:r>
              <w:rPr>
                <w:sz w:val="18"/>
                <w:szCs w:val="18"/>
                <w:lang w:eastAsia="uk-UA"/>
              </w:rPr>
              <w:t>Програмне забезпечення</w:t>
            </w:r>
          </w:p>
        </w:tc>
        <w:tc>
          <w:tcPr>
            <w:tcW w:w="889" w:type="dxa"/>
            <w:tcBorders>
              <w:top w:val="single" w:sz="4" w:space="0" w:color="auto"/>
              <w:left w:val="nil"/>
              <w:bottom w:val="single" w:sz="4" w:space="0" w:color="auto"/>
              <w:right w:val="single" w:sz="4" w:space="0" w:color="auto"/>
            </w:tcBorders>
            <w:vAlign w:val="center"/>
          </w:tcPr>
          <w:p w:rsidR="00D120E6" w:rsidRDefault="00230D08">
            <w:pPr>
              <w:jc w:val="center"/>
              <w:rPr>
                <w:b/>
                <w:bCs/>
                <w:sz w:val="18"/>
                <w:szCs w:val="18"/>
                <w:lang w:eastAsia="uk-UA"/>
              </w:rPr>
            </w:pPr>
            <w:r>
              <w:rPr>
                <w:b/>
                <w:bCs/>
                <w:sz w:val="18"/>
                <w:szCs w:val="18"/>
                <w:lang w:eastAsia="uk-UA"/>
              </w:rPr>
              <w:t>4</w:t>
            </w:r>
          </w:p>
        </w:tc>
        <w:tc>
          <w:tcPr>
            <w:tcW w:w="696" w:type="dxa"/>
            <w:tcBorders>
              <w:top w:val="single" w:sz="4" w:space="0" w:color="auto"/>
              <w:left w:val="nil"/>
              <w:bottom w:val="single" w:sz="4" w:space="0" w:color="auto"/>
              <w:right w:val="single" w:sz="4" w:space="0" w:color="auto"/>
            </w:tcBorders>
            <w:vAlign w:val="center"/>
          </w:tcPr>
          <w:p w:rsidR="00D120E6" w:rsidRDefault="00230D08">
            <w:pPr>
              <w:jc w:val="center"/>
              <w:rPr>
                <w:b/>
                <w:bCs/>
                <w:sz w:val="18"/>
                <w:szCs w:val="18"/>
                <w:lang w:eastAsia="uk-UA"/>
              </w:rPr>
            </w:pPr>
            <w:r>
              <w:rPr>
                <w:b/>
                <w:bCs/>
                <w:sz w:val="18"/>
                <w:szCs w:val="18"/>
                <w:lang w:eastAsia="uk-UA"/>
              </w:rPr>
              <w:t>2</w:t>
            </w:r>
          </w:p>
        </w:tc>
        <w:tc>
          <w:tcPr>
            <w:tcW w:w="995" w:type="dxa"/>
            <w:tcBorders>
              <w:top w:val="single" w:sz="4" w:space="0" w:color="auto"/>
              <w:left w:val="nil"/>
              <w:bottom w:val="single" w:sz="4" w:space="0" w:color="auto"/>
              <w:right w:val="single" w:sz="4" w:space="0" w:color="auto"/>
            </w:tcBorders>
            <w:vAlign w:val="center"/>
          </w:tcPr>
          <w:p w:rsidR="00D120E6" w:rsidRDefault="00230D08">
            <w:pPr>
              <w:jc w:val="center"/>
              <w:rPr>
                <w:b/>
                <w:bCs/>
                <w:sz w:val="18"/>
                <w:szCs w:val="18"/>
                <w:lang w:eastAsia="uk-UA"/>
              </w:rPr>
            </w:pPr>
            <w:r>
              <w:rPr>
                <w:b/>
                <w:bCs/>
                <w:sz w:val="18"/>
                <w:szCs w:val="18"/>
                <w:lang w:eastAsia="uk-UA"/>
              </w:rPr>
              <w:t>1</w:t>
            </w:r>
          </w:p>
        </w:tc>
        <w:tc>
          <w:tcPr>
            <w:tcW w:w="1171" w:type="dxa"/>
            <w:tcBorders>
              <w:top w:val="single" w:sz="4" w:space="0" w:color="auto"/>
              <w:left w:val="nil"/>
              <w:bottom w:val="single" w:sz="4" w:space="0" w:color="auto"/>
              <w:right w:val="single" w:sz="4" w:space="0" w:color="auto"/>
            </w:tcBorders>
            <w:vAlign w:val="center"/>
          </w:tcPr>
          <w:p w:rsidR="00D120E6" w:rsidRDefault="00230D08">
            <w:pPr>
              <w:jc w:val="center"/>
              <w:rPr>
                <w:b/>
                <w:bCs/>
                <w:sz w:val="18"/>
                <w:szCs w:val="18"/>
                <w:lang w:eastAsia="uk-UA"/>
              </w:rPr>
            </w:pPr>
            <w:r>
              <w:rPr>
                <w:b/>
                <w:bCs/>
                <w:sz w:val="18"/>
                <w:szCs w:val="18"/>
                <w:lang w:eastAsia="uk-UA"/>
              </w:rPr>
              <w:t>1</w:t>
            </w:r>
          </w:p>
        </w:tc>
        <w:tc>
          <w:tcPr>
            <w:tcW w:w="821" w:type="dxa"/>
            <w:tcBorders>
              <w:top w:val="single" w:sz="4" w:space="0" w:color="auto"/>
              <w:left w:val="nil"/>
              <w:bottom w:val="single" w:sz="4" w:space="0" w:color="auto"/>
              <w:right w:val="single" w:sz="4" w:space="0" w:color="auto"/>
            </w:tcBorders>
            <w:vAlign w:val="center"/>
          </w:tcPr>
          <w:p w:rsidR="00D120E6" w:rsidRDefault="00230D08">
            <w:pPr>
              <w:jc w:val="center"/>
              <w:rPr>
                <w:b/>
                <w:bCs/>
                <w:sz w:val="18"/>
                <w:szCs w:val="18"/>
                <w:lang w:eastAsia="uk-UA"/>
              </w:rPr>
            </w:pPr>
            <w:r>
              <w:rPr>
                <w:b/>
                <w:bCs/>
                <w:sz w:val="18"/>
                <w:szCs w:val="18"/>
                <w:lang w:eastAsia="uk-UA"/>
              </w:rPr>
              <w:t>1</w:t>
            </w:r>
          </w:p>
        </w:tc>
        <w:tc>
          <w:tcPr>
            <w:tcW w:w="1149" w:type="dxa"/>
            <w:tcBorders>
              <w:top w:val="single" w:sz="4" w:space="0" w:color="auto"/>
              <w:left w:val="nil"/>
              <w:bottom w:val="single" w:sz="4" w:space="0" w:color="auto"/>
              <w:right w:val="single" w:sz="4" w:space="0" w:color="auto"/>
            </w:tcBorders>
            <w:vAlign w:val="center"/>
          </w:tcPr>
          <w:p w:rsidR="00D120E6" w:rsidRDefault="00230D08">
            <w:pPr>
              <w:jc w:val="center"/>
              <w:rPr>
                <w:b/>
                <w:bCs/>
                <w:sz w:val="18"/>
                <w:szCs w:val="18"/>
                <w:lang w:eastAsia="uk-UA"/>
              </w:rPr>
            </w:pPr>
            <w:r>
              <w:rPr>
                <w:b/>
                <w:bCs/>
                <w:sz w:val="18"/>
                <w:szCs w:val="18"/>
                <w:lang w:eastAsia="uk-UA"/>
              </w:rPr>
              <w:t>1</w:t>
            </w:r>
          </w:p>
        </w:tc>
        <w:tc>
          <w:tcPr>
            <w:tcW w:w="1297"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697"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17"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924" w:type="dxa"/>
            <w:tcBorders>
              <w:top w:val="single" w:sz="4" w:space="0" w:color="auto"/>
              <w:left w:val="nil"/>
              <w:bottom w:val="single" w:sz="4" w:space="0" w:color="auto"/>
              <w:right w:val="single" w:sz="4" w:space="0" w:color="auto"/>
            </w:tcBorders>
            <w:vAlign w:val="center"/>
          </w:tcPr>
          <w:p w:rsidR="00D120E6" w:rsidRDefault="00230D08">
            <w:pPr>
              <w:jc w:val="center"/>
              <w:rPr>
                <w:b/>
                <w:bCs/>
                <w:sz w:val="18"/>
                <w:szCs w:val="18"/>
                <w:lang w:eastAsia="uk-UA"/>
              </w:rPr>
            </w:pPr>
            <w:r>
              <w:rPr>
                <w:b/>
                <w:bCs/>
                <w:sz w:val="18"/>
                <w:szCs w:val="18"/>
                <w:lang w:eastAsia="uk-UA"/>
              </w:rPr>
              <w:t>4</w:t>
            </w:r>
          </w:p>
        </w:tc>
        <w:tc>
          <w:tcPr>
            <w:tcW w:w="1125" w:type="dxa"/>
            <w:tcBorders>
              <w:top w:val="single" w:sz="4" w:space="0" w:color="auto"/>
              <w:left w:val="nil"/>
              <w:bottom w:val="single" w:sz="4" w:space="0" w:color="auto"/>
              <w:right w:val="single" w:sz="4" w:space="0" w:color="auto"/>
            </w:tcBorders>
            <w:vAlign w:val="center"/>
          </w:tcPr>
          <w:p w:rsidR="00D120E6" w:rsidRDefault="00230D08">
            <w:pPr>
              <w:jc w:val="center"/>
              <w:rPr>
                <w:b/>
                <w:bCs/>
                <w:sz w:val="18"/>
                <w:szCs w:val="18"/>
                <w:lang w:eastAsia="uk-UA"/>
              </w:rPr>
            </w:pPr>
            <w:r>
              <w:rPr>
                <w:b/>
                <w:bCs/>
                <w:sz w:val="18"/>
                <w:szCs w:val="18"/>
                <w:lang w:eastAsia="uk-UA"/>
              </w:rPr>
              <w:t>2</w:t>
            </w:r>
          </w:p>
        </w:tc>
        <w:tc>
          <w:tcPr>
            <w:tcW w:w="296"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1178"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240"/>
        </w:trPr>
        <w:tc>
          <w:tcPr>
            <w:tcW w:w="459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rPr>
                <w:sz w:val="18"/>
                <w:szCs w:val="18"/>
                <w:lang w:eastAsia="uk-UA"/>
              </w:rPr>
            </w:pPr>
            <w:r>
              <w:rPr>
                <w:sz w:val="18"/>
                <w:szCs w:val="18"/>
                <w:lang w:eastAsia="uk-UA"/>
              </w:rPr>
              <w:t>Разом</w:t>
            </w:r>
          </w:p>
        </w:tc>
        <w:tc>
          <w:tcPr>
            <w:tcW w:w="889" w:type="dxa"/>
            <w:tcBorders>
              <w:top w:val="single" w:sz="4" w:space="0" w:color="auto"/>
              <w:left w:val="nil"/>
              <w:bottom w:val="single" w:sz="4" w:space="0" w:color="auto"/>
              <w:right w:val="single" w:sz="4" w:space="0" w:color="auto"/>
            </w:tcBorders>
            <w:shd w:val="clear" w:color="auto" w:fill="C0C0C0"/>
            <w:vAlign w:val="center"/>
          </w:tcPr>
          <w:p w:rsidR="00D120E6" w:rsidRDefault="00230D08">
            <w:pPr>
              <w:jc w:val="center"/>
              <w:rPr>
                <w:b/>
                <w:bCs/>
                <w:sz w:val="18"/>
                <w:szCs w:val="18"/>
                <w:lang w:eastAsia="uk-UA"/>
              </w:rPr>
            </w:pPr>
            <w:r>
              <w:rPr>
                <w:b/>
                <w:bCs/>
                <w:sz w:val="18"/>
                <w:szCs w:val="18"/>
                <w:lang w:eastAsia="uk-UA"/>
              </w:rPr>
              <w:t>4</w:t>
            </w:r>
          </w:p>
        </w:tc>
        <w:tc>
          <w:tcPr>
            <w:tcW w:w="696" w:type="dxa"/>
            <w:tcBorders>
              <w:top w:val="single" w:sz="4" w:space="0" w:color="auto"/>
              <w:left w:val="nil"/>
              <w:bottom w:val="single" w:sz="4" w:space="0" w:color="auto"/>
              <w:right w:val="single" w:sz="4" w:space="0" w:color="auto"/>
            </w:tcBorders>
            <w:shd w:val="clear" w:color="auto" w:fill="C0C0C0"/>
            <w:vAlign w:val="center"/>
          </w:tcPr>
          <w:p w:rsidR="00D120E6" w:rsidRDefault="00230D08">
            <w:pPr>
              <w:jc w:val="center"/>
              <w:rPr>
                <w:b/>
                <w:bCs/>
                <w:sz w:val="18"/>
                <w:szCs w:val="18"/>
                <w:lang w:eastAsia="uk-UA"/>
              </w:rPr>
            </w:pPr>
            <w:r>
              <w:rPr>
                <w:b/>
                <w:bCs/>
                <w:sz w:val="18"/>
                <w:szCs w:val="18"/>
                <w:lang w:eastAsia="uk-UA"/>
              </w:rPr>
              <w:t>2</w:t>
            </w:r>
          </w:p>
        </w:tc>
        <w:tc>
          <w:tcPr>
            <w:tcW w:w="995" w:type="dxa"/>
            <w:tcBorders>
              <w:top w:val="single" w:sz="4" w:space="0" w:color="auto"/>
              <w:left w:val="nil"/>
              <w:bottom w:val="single" w:sz="4" w:space="0" w:color="auto"/>
              <w:right w:val="single" w:sz="4" w:space="0" w:color="auto"/>
            </w:tcBorders>
            <w:shd w:val="clear" w:color="auto" w:fill="C0C0C0"/>
            <w:vAlign w:val="center"/>
          </w:tcPr>
          <w:p w:rsidR="00D120E6" w:rsidRDefault="00230D08">
            <w:pPr>
              <w:jc w:val="center"/>
              <w:rPr>
                <w:b/>
                <w:bCs/>
                <w:sz w:val="18"/>
                <w:szCs w:val="18"/>
                <w:lang w:eastAsia="uk-UA"/>
              </w:rPr>
            </w:pPr>
            <w:r>
              <w:rPr>
                <w:b/>
                <w:bCs/>
                <w:sz w:val="18"/>
                <w:szCs w:val="18"/>
                <w:lang w:eastAsia="uk-UA"/>
              </w:rPr>
              <w:t>1</w:t>
            </w:r>
          </w:p>
        </w:tc>
        <w:tc>
          <w:tcPr>
            <w:tcW w:w="1171" w:type="dxa"/>
            <w:tcBorders>
              <w:top w:val="single" w:sz="4" w:space="0" w:color="auto"/>
              <w:left w:val="nil"/>
              <w:bottom w:val="single" w:sz="4" w:space="0" w:color="auto"/>
              <w:right w:val="single" w:sz="4" w:space="0" w:color="auto"/>
            </w:tcBorders>
            <w:shd w:val="clear" w:color="auto" w:fill="C0C0C0"/>
            <w:vAlign w:val="center"/>
          </w:tcPr>
          <w:p w:rsidR="00D120E6" w:rsidRDefault="00230D08">
            <w:pPr>
              <w:jc w:val="center"/>
              <w:rPr>
                <w:b/>
                <w:bCs/>
                <w:sz w:val="18"/>
                <w:szCs w:val="18"/>
                <w:lang w:eastAsia="uk-UA"/>
              </w:rPr>
            </w:pPr>
            <w:r>
              <w:rPr>
                <w:b/>
                <w:bCs/>
                <w:sz w:val="18"/>
                <w:szCs w:val="18"/>
                <w:lang w:eastAsia="uk-UA"/>
              </w:rPr>
              <w:t>1</w:t>
            </w:r>
          </w:p>
        </w:tc>
        <w:tc>
          <w:tcPr>
            <w:tcW w:w="821" w:type="dxa"/>
            <w:tcBorders>
              <w:top w:val="single" w:sz="4" w:space="0" w:color="auto"/>
              <w:left w:val="nil"/>
              <w:bottom w:val="single" w:sz="4" w:space="0" w:color="auto"/>
              <w:right w:val="single" w:sz="4" w:space="0" w:color="auto"/>
            </w:tcBorders>
            <w:shd w:val="clear" w:color="auto" w:fill="C0C0C0"/>
            <w:vAlign w:val="center"/>
          </w:tcPr>
          <w:p w:rsidR="00D120E6" w:rsidRDefault="00230D08">
            <w:pPr>
              <w:jc w:val="center"/>
              <w:rPr>
                <w:b/>
                <w:bCs/>
                <w:sz w:val="18"/>
                <w:szCs w:val="18"/>
                <w:lang w:eastAsia="uk-UA"/>
              </w:rPr>
            </w:pPr>
            <w:r>
              <w:rPr>
                <w:b/>
                <w:bCs/>
                <w:sz w:val="18"/>
                <w:szCs w:val="18"/>
                <w:lang w:eastAsia="uk-UA"/>
              </w:rPr>
              <w:t>1</w:t>
            </w:r>
          </w:p>
        </w:tc>
        <w:tc>
          <w:tcPr>
            <w:tcW w:w="1149" w:type="dxa"/>
            <w:tcBorders>
              <w:top w:val="single" w:sz="4" w:space="0" w:color="auto"/>
              <w:left w:val="nil"/>
              <w:bottom w:val="single" w:sz="4" w:space="0" w:color="auto"/>
              <w:right w:val="single" w:sz="4" w:space="0" w:color="auto"/>
            </w:tcBorders>
            <w:shd w:val="clear" w:color="auto" w:fill="C0C0C0"/>
            <w:vAlign w:val="center"/>
          </w:tcPr>
          <w:p w:rsidR="00D120E6" w:rsidRDefault="00230D08">
            <w:pPr>
              <w:jc w:val="center"/>
              <w:rPr>
                <w:b/>
                <w:bCs/>
                <w:sz w:val="18"/>
                <w:szCs w:val="18"/>
                <w:lang w:eastAsia="uk-UA"/>
              </w:rPr>
            </w:pPr>
            <w:r>
              <w:rPr>
                <w:b/>
                <w:bCs/>
                <w:sz w:val="18"/>
                <w:szCs w:val="18"/>
                <w:lang w:eastAsia="uk-UA"/>
              </w:rPr>
              <w:t>1</w:t>
            </w:r>
          </w:p>
        </w:tc>
        <w:tc>
          <w:tcPr>
            <w:tcW w:w="1297" w:type="dxa"/>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b/>
                <w:bCs/>
                <w:sz w:val="18"/>
                <w:szCs w:val="18"/>
                <w:lang w:eastAsia="uk-UA"/>
              </w:rPr>
            </w:pPr>
            <w:r>
              <w:rPr>
                <w:b/>
                <w:bCs/>
                <w:sz w:val="18"/>
                <w:szCs w:val="18"/>
                <w:lang w:eastAsia="uk-UA"/>
              </w:rPr>
              <w:t> </w:t>
            </w:r>
          </w:p>
        </w:tc>
        <w:tc>
          <w:tcPr>
            <w:tcW w:w="697" w:type="dxa"/>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b/>
                <w:bCs/>
                <w:sz w:val="18"/>
                <w:szCs w:val="18"/>
                <w:lang w:eastAsia="uk-UA"/>
              </w:rPr>
            </w:pPr>
            <w:r>
              <w:rPr>
                <w:b/>
                <w:bCs/>
                <w:sz w:val="18"/>
                <w:szCs w:val="18"/>
                <w:lang w:eastAsia="uk-UA"/>
              </w:rPr>
              <w:t> </w:t>
            </w:r>
          </w:p>
        </w:tc>
        <w:tc>
          <w:tcPr>
            <w:tcW w:w="817" w:type="dxa"/>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b/>
                <w:bCs/>
                <w:sz w:val="18"/>
                <w:szCs w:val="18"/>
                <w:lang w:eastAsia="uk-UA"/>
              </w:rPr>
            </w:pPr>
            <w:r>
              <w:rPr>
                <w:b/>
                <w:bCs/>
                <w:sz w:val="18"/>
                <w:szCs w:val="18"/>
                <w:lang w:eastAsia="uk-UA"/>
              </w:rPr>
              <w:t> </w:t>
            </w:r>
          </w:p>
        </w:tc>
        <w:tc>
          <w:tcPr>
            <w:tcW w:w="924" w:type="dxa"/>
            <w:tcBorders>
              <w:top w:val="single" w:sz="4" w:space="0" w:color="auto"/>
              <w:left w:val="nil"/>
              <w:bottom w:val="single" w:sz="4" w:space="0" w:color="auto"/>
              <w:right w:val="single" w:sz="4" w:space="0" w:color="auto"/>
            </w:tcBorders>
            <w:shd w:val="clear" w:color="auto" w:fill="C0C0C0"/>
            <w:vAlign w:val="center"/>
          </w:tcPr>
          <w:p w:rsidR="00D120E6" w:rsidRDefault="00230D08">
            <w:pPr>
              <w:jc w:val="center"/>
              <w:rPr>
                <w:b/>
                <w:bCs/>
                <w:sz w:val="18"/>
                <w:szCs w:val="18"/>
                <w:lang w:eastAsia="uk-UA"/>
              </w:rPr>
            </w:pPr>
            <w:r>
              <w:rPr>
                <w:b/>
                <w:bCs/>
                <w:sz w:val="18"/>
                <w:szCs w:val="18"/>
                <w:lang w:eastAsia="uk-UA"/>
              </w:rPr>
              <w:t>4</w:t>
            </w:r>
          </w:p>
        </w:tc>
        <w:tc>
          <w:tcPr>
            <w:tcW w:w="1125" w:type="dxa"/>
            <w:tcBorders>
              <w:top w:val="single" w:sz="4" w:space="0" w:color="auto"/>
              <w:left w:val="nil"/>
              <w:bottom w:val="single" w:sz="4" w:space="0" w:color="auto"/>
              <w:right w:val="single" w:sz="4" w:space="0" w:color="auto"/>
            </w:tcBorders>
            <w:shd w:val="clear" w:color="auto" w:fill="C0C0C0"/>
            <w:vAlign w:val="center"/>
          </w:tcPr>
          <w:p w:rsidR="00D120E6" w:rsidRDefault="00230D08">
            <w:pPr>
              <w:jc w:val="center"/>
              <w:rPr>
                <w:b/>
                <w:bCs/>
                <w:sz w:val="18"/>
                <w:szCs w:val="18"/>
                <w:lang w:eastAsia="uk-UA"/>
              </w:rPr>
            </w:pPr>
            <w:r>
              <w:rPr>
                <w:b/>
                <w:bCs/>
                <w:sz w:val="18"/>
                <w:szCs w:val="18"/>
                <w:lang w:eastAsia="uk-UA"/>
              </w:rPr>
              <w:t>2</w:t>
            </w:r>
          </w:p>
        </w:tc>
        <w:tc>
          <w:tcPr>
            <w:tcW w:w="296"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1178" w:type="dxa"/>
            <w:noWrap/>
            <w:vAlign w:val="bottom"/>
            <w:hideMark/>
          </w:tcPr>
          <w:p w:rsidR="00D120E6" w:rsidRDefault="00D120E6">
            <w:pPr>
              <w:jc w:val="left"/>
              <w:rPr>
                <w:rFonts w:ascii="Calibri" w:eastAsia="Calibri" w:hAnsi="Calibri"/>
                <w:sz w:val="20"/>
                <w:szCs w:val="20"/>
                <w:lang w:val="ru-RU"/>
              </w:rPr>
            </w:pP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vanish/>
          <w:lang w:val="ru-RU"/>
        </w:rPr>
      </w:pPr>
    </w:p>
    <w:tbl>
      <w:tblPr>
        <w:tblW w:w="17430" w:type="dxa"/>
        <w:tblInd w:w="108" w:type="dxa"/>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327"/>
        <w:gridCol w:w="328"/>
        <w:gridCol w:w="327"/>
        <w:gridCol w:w="236"/>
        <w:gridCol w:w="236"/>
        <w:gridCol w:w="236"/>
        <w:gridCol w:w="260"/>
        <w:gridCol w:w="260"/>
        <w:gridCol w:w="260"/>
        <w:gridCol w:w="448"/>
        <w:gridCol w:w="323"/>
        <w:gridCol w:w="236"/>
        <w:gridCol w:w="285"/>
        <w:gridCol w:w="285"/>
        <w:gridCol w:w="286"/>
        <w:gridCol w:w="253"/>
        <w:gridCol w:w="253"/>
        <w:gridCol w:w="263"/>
        <w:gridCol w:w="263"/>
        <w:gridCol w:w="236"/>
        <w:gridCol w:w="306"/>
        <w:gridCol w:w="307"/>
        <w:gridCol w:w="305"/>
        <w:gridCol w:w="331"/>
        <w:gridCol w:w="330"/>
        <w:gridCol w:w="236"/>
        <w:gridCol w:w="237"/>
        <w:gridCol w:w="620"/>
        <w:gridCol w:w="355"/>
        <w:gridCol w:w="236"/>
        <w:gridCol w:w="296"/>
        <w:gridCol w:w="236"/>
        <w:gridCol w:w="573"/>
        <w:gridCol w:w="236"/>
        <w:gridCol w:w="273"/>
        <w:gridCol w:w="273"/>
        <w:gridCol w:w="260"/>
        <w:gridCol w:w="74"/>
        <w:gridCol w:w="270"/>
        <w:gridCol w:w="48"/>
        <w:gridCol w:w="205"/>
        <w:gridCol w:w="58"/>
        <w:gridCol w:w="188"/>
        <w:gridCol w:w="77"/>
        <w:gridCol w:w="189"/>
        <w:gridCol w:w="73"/>
        <w:gridCol w:w="241"/>
        <w:gridCol w:w="236"/>
        <w:gridCol w:w="811"/>
        <w:gridCol w:w="881"/>
      </w:tblGrid>
      <w:tr w:rsidR="00D120E6" w:rsidTr="00D120E6">
        <w:trPr>
          <w:trHeight w:val="165"/>
        </w:trPr>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345" w:type="dxa"/>
            <w:noWrap/>
            <w:vAlign w:val="bottom"/>
            <w:hideMark/>
          </w:tcPr>
          <w:p w:rsidR="00D120E6" w:rsidRDefault="00D120E6">
            <w:pPr>
              <w:jc w:val="left"/>
              <w:rPr>
                <w:rFonts w:ascii="Calibri" w:eastAsia="Calibri" w:hAnsi="Calibri"/>
                <w:sz w:val="20"/>
                <w:szCs w:val="20"/>
                <w:lang w:val="ru-RU"/>
              </w:rPr>
            </w:pPr>
          </w:p>
        </w:tc>
        <w:tc>
          <w:tcPr>
            <w:tcW w:w="345" w:type="dxa"/>
            <w:noWrap/>
            <w:vAlign w:val="bottom"/>
            <w:hideMark/>
          </w:tcPr>
          <w:p w:rsidR="00D120E6" w:rsidRDefault="00D120E6">
            <w:pPr>
              <w:jc w:val="left"/>
              <w:rPr>
                <w:rFonts w:ascii="Calibri" w:eastAsia="Calibri" w:hAnsi="Calibri"/>
                <w:sz w:val="20"/>
                <w:szCs w:val="20"/>
                <w:lang w:val="ru-RU"/>
              </w:rPr>
            </w:pPr>
          </w:p>
        </w:tc>
        <w:tc>
          <w:tcPr>
            <w:tcW w:w="344"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tcPr>
          <w:p w:rsidR="00D120E6" w:rsidRDefault="00D120E6">
            <w:pPr>
              <w:rPr>
                <w:sz w:val="18"/>
                <w:szCs w:val="18"/>
                <w:lang w:eastAsia="uk-UA"/>
              </w:rPr>
            </w:pPr>
          </w:p>
        </w:tc>
        <w:tc>
          <w:tcPr>
            <w:tcW w:w="264" w:type="dxa"/>
            <w:noWrap/>
            <w:vAlign w:val="bottom"/>
          </w:tcPr>
          <w:p w:rsidR="00D120E6" w:rsidRDefault="00D120E6">
            <w:pPr>
              <w:rPr>
                <w:sz w:val="18"/>
                <w:szCs w:val="18"/>
                <w:lang w:eastAsia="uk-UA"/>
              </w:rPr>
            </w:pPr>
          </w:p>
        </w:tc>
        <w:tc>
          <w:tcPr>
            <w:tcW w:w="265" w:type="dxa"/>
            <w:noWrap/>
            <w:vAlign w:val="bottom"/>
          </w:tcPr>
          <w:p w:rsidR="00D120E6" w:rsidRDefault="00D120E6">
            <w:pPr>
              <w:rPr>
                <w:sz w:val="18"/>
                <w:szCs w:val="18"/>
                <w:lang w:eastAsia="uk-UA"/>
              </w:rPr>
            </w:pPr>
          </w:p>
        </w:tc>
        <w:tc>
          <w:tcPr>
            <w:tcW w:w="265" w:type="dxa"/>
            <w:noWrap/>
            <w:vAlign w:val="bottom"/>
          </w:tcPr>
          <w:p w:rsidR="00D120E6" w:rsidRDefault="00D120E6">
            <w:pPr>
              <w:rPr>
                <w:sz w:val="18"/>
                <w:szCs w:val="18"/>
                <w:lang w:eastAsia="uk-UA"/>
              </w:rPr>
            </w:pPr>
          </w:p>
        </w:tc>
        <w:tc>
          <w:tcPr>
            <w:tcW w:w="487" w:type="dxa"/>
            <w:noWrap/>
            <w:vAlign w:val="bottom"/>
          </w:tcPr>
          <w:p w:rsidR="00D120E6" w:rsidRDefault="00D120E6">
            <w:pPr>
              <w:rPr>
                <w:sz w:val="18"/>
                <w:szCs w:val="18"/>
                <w:lang w:eastAsia="uk-UA"/>
              </w:rPr>
            </w:pPr>
          </w:p>
        </w:tc>
        <w:tc>
          <w:tcPr>
            <w:tcW w:w="339" w:type="dxa"/>
            <w:noWrap/>
            <w:vAlign w:val="bottom"/>
          </w:tcPr>
          <w:p w:rsidR="00D120E6" w:rsidRDefault="00D120E6">
            <w:pPr>
              <w:rPr>
                <w:sz w:val="18"/>
                <w:szCs w:val="18"/>
                <w:lang w:eastAsia="uk-UA"/>
              </w:rPr>
            </w:pPr>
          </w:p>
        </w:tc>
        <w:tc>
          <w:tcPr>
            <w:tcW w:w="236" w:type="dxa"/>
            <w:noWrap/>
            <w:vAlign w:val="bottom"/>
          </w:tcPr>
          <w:p w:rsidR="00D120E6" w:rsidRDefault="00D120E6">
            <w:pPr>
              <w:rPr>
                <w:sz w:val="18"/>
                <w:szCs w:val="18"/>
                <w:lang w:eastAsia="uk-UA"/>
              </w:rPr>
            </w:pPr>
          </w:p>
        </w:tc>
        <w:tc>
          <w:tcPr>
            <w:tcW w:w="294" w:type="dxa"/>
            <w:noWrap/>
            <w:vAlign w:val="bottom"/>
          </w:tcPr>
          <w:p w:rsidR="00D120E6" w:rsidRDefault="00D120E6">
            <w:pPr>
              <w:rPr>
                <w:sz w:val="18"/>
                <w:szCs w:val="18"/>
                <w:lang w:eastAsia="uk-UA"/>
              </w:rPr>
            </w:pPr>
          </w:p>
        </w:tc>
        <w:tc>
          <w:tcPr>
            <w:tcW w:w="294" w:type="dxa"/>
            <w:noWrap/>
            <w:vAlign w:val="bottom"/>
          </w:tcPr>
          <w:p w:rsidR="00D120E6" w:rsidRDefault="00D120E6">
            <w:pPr>
              <w:rPr>
                <w:sz w:val="18"/>
                <w:szCs w:val="18"/>
                <w:lang w:eastAsia="uk-UA"/>
              </w:rPr>
            </w:pPr>
          </w:p>
        </w:tc>
        <w:tc>
          <w:tcPr>
            <w:tcW w:w="295" w:type="dxa"/>
            <w:noWrap/>
            <w:vAlign w:val="bottom"/>
          </w:tcPr>
          <w:p w:rsidR="00D120E6" w:rsidRDefault="00D120E6">
            <w:pPr>
              <w:rPr>
                <w:sz w:val="18"/>
                <w:szCs w:val="18"/>
                <w:lang w:eastAsia="uk-UA"/>
              </w:rPr>
            </w:pPr>
          </w:p>
        </w:tc>
        <w:tc>
          <w:tcPr>
            <w:tcW w:w="256" w:type="dxa"/>
            <w:noWrap/>
            <w:vAlign w:val="bottom"/>
          </w:tcPr>
          <w:p w:rsidR="00D120E6" w:rsidRDefault="00D120E6">
            <w:pPr>
              <w:rPr>
                <w:sz w:val="18"/>
                <w:szCs w:val="18"/>
                <w:lang w:eastAsia="uk-UA"/>
              </w:rPr>
            </w:pPr>
          </w:p>
        </w:tc>
        <w:tc>
          <w:tcPr>
            <w:tcW w:w="256" w:type="dxa"/>
            <w:noWrap/>
            <w:vAlign w:val="bottom"/>
          </w:tcPr>
          <w:p w:rsidR="00D120E6" w:rsidRDefault="00D120E6">
            <w:pPr>
              <w:rPr>
                <w:sz w:val="18"/>
                <w:szCs w:val="18"/>
                <w:lang w:eastAsia="uk-UA"/>
              </w:rPr>
            </w:pPr>
          </w:p>
        </w:tc>
        <w:tc>
          <w:tcPr>
            <w:tcW w:w="268" w:type="dxa"/>
            <w:noWrap/>
            <w:vAlign w:val="bottom"/>
          </w:tcPr>
          <w:p w:rsidR="00D120E6" w:rsidRDefault="00D120E6">
            <w:pPr>
              <w:rPr>
                <w:sz w:val="18"/>
                <w:szCs w:val="18"/>
                <w:lang w:eastAsia="uk-UA"/>
              </w:rPr>
            </w:pPr>
          </w:p>
        </w:tc>
        <w:tc>
          <w:tcPr>
            <w:tcW w:w="268" w:type="dxa"/>
            <w:noWrap/>
            <w:vAlign w:val="bottom"/>
          </w:tcPr>
          <w:p w:rsidR="00D120E6" w:rsidRDefault="00D120E6">
            <w:pPr>
              <w:rPr>
                <w:sz w:val="18"/>
                <w:szCs w:val="18"/>
                <w:lang w:eastAsia="uk-UA"/>
              </w:rPr>
            </w:pPr>
          </w:p>
        </w:tc>
        <w:tc>
          <w:tcPr>
            <w:tcW w:w="236" w:type="dxa"/>
            <w:noWrap/>
            <w:vAlign w:val="bottom"/>
          </w:tcPr>
          <w:p w:rsidR="00D120E6" w:rsidRDefault="00D120E6">
            <w:pPr>
              <w:rPr>
                <w:sz w:val="18"/>
                <w:szCs w:val="18"/>
                <w:lang w:eastAsia="uk-UA"/>
              </w:rPr>
            </w:pPr>
          </w:p>
        </w:tc>
        <w:tc>
          <w:tcPr>
            <w:tcW w:w="319" w:type="dxa"/>
            <w:noWrap/>
            <w:vAlign w:val="bottom"/>
          </w:tcPr>
          <w:p w:rsidR="00D120E6" w:rsidRDefault="00D120E6">
            <w:pPr>
              <w:rPr>
                <w:sz w:val="18"/>
                <w:szCs w:val="18"/>
                <w:lang w:eastAsia="uk-UA"/>
              </w:rPr>
            </w:pPr>
          </w:p>
        </w:tc>
        <w:tc>
          <w:tcPr>
            <w:tcW w:w="320" w:type="dxa"/>
            <w:noWrap/>
            <w:vAlign w:val="bottom"/>
          </w:tcPr>
          <w:p w:rsidR="00D120E6" w:rsidRDefault="00D120E6">
            <w:pPr>
              <w:rPr>
                <w:sz w:val="18"/>
                <w:szCs w:val="18"/>
                <w:lang w:eastAsia="uk-UA"/>
              </w:rPr>
            </w:pPr>
          </w:p>
        </w:tc>
        <w:tc>
          <w:tcPr>
            <w:tcW w:w="318" w:type="dxa"/>
            <w:noWrap/>
            <w:vAlign w:val="bottom"/>
          </w:tcPr>
          <w:p w:rsidR="00D120E6" w:rsidRDefault="00D120E6">
            <w:pPr>
              <w:rPr>
                <w:sz w:val="18"/>
                <w:szCs w:val="18"/>
                <w:lang w:eastAsia="uk-UA"/>
              </w:rPr>
            </w:pPr>
          </w:p>
        </w:tc>
        <w:tc>
          <w:tcPr>
            <w:tcW w:w="348" w:type="dxa"/>
            <w:noWrap/>
            <w:vAlign w:val="bottom"/>
          </w:tcPr>
          <w:p w:rsidR="00D120E6" w:rsidRDefault="00D120E6">
            <w:pPr>
              <w:rPr>
                <w:sz w:val="18"/>
                <w:szCs w:val="18"/>
                <w:lang w:eastAsia="uk-UA"/>
              </w:rPr>
            </w:pPr>
          </w:p>
        </w:tc>
        <w:tc>
          <w:tcPr>
            <w:tcW w:w="347"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7" w:type="dxa"/>
            <w:noWrap/>
            <w:vAlign w:val="bottom"/>
            <w:hideMark/>
          </w:tcPr>
          <w:p w:rsidR="00D120E6" w:rsidRDefault="00D120E6">
            <w:pPr>
              <w:jc w:val="left"/>
              <w:rPr>
                <w:rFonts w:ascii="Calibri" w:eastAsia="Calibri" w:hAnsi="Calibri"/>
                <w:sz w:val="20"/>
                <w:szCs w:val="20"/>
                <w:lang w:val="ru-RU"/>
              </w:rPr>
            </w:pPr>
          </w:p>
        </w:tc>
        <w:tc>
          <w:tcPr>
            <w:tcW w:w="691" w:type="dxa"/>
            <w:noWrap/>
            <w:vAlign w:val="bottom"/>
            <w:hideMark/>
          </w:tcPr>
          <w:p w:rsidR="00D120E6" w:rsidRDefault="00D120E6">
            <w:pPr>
              <w:jc w:val="left"/>
              <w:rPr>
                <w:rFonts w:ascii="Calibri" w:eastAsia="Calibri" w:hAnsi="Calibri"/>
                <w:sz w:val="20"/>
                <w:szCs w:val="20"/>
                <w:lang w:val="ru-RU"/>
              </w:rPr>
            </w:pPr>
          </w:p>
        </w:tc>
        <w:tc>
          <w:tcPr>
            <w:tcW w:w="377"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307"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635"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80" w:type="dxa"/>
            <w:noWrap/>
            <w:vAlign w:val="bottom"/>
            <w:hideMark/>
          </w:tcPr>
          <w:p w:rsidR="00D120E6" w:rsidRDefault="00D120E6">
            <w:pPr>
              <w:jc w:val="left"/>
              <w:rPr>
                <w:rFonts w:ascii="Calibri" w:eastAsia="Calibri" w:hAnsi="Calibri"/>
                <w:sz w:val="20"/>
                <w:szCs w:val="20"/>
                <w:lang w:val="ru-RU"/>
              </w:rPr>
            </w:pPr>
          </w:p>
        </w:tc>
        <w:tc>
          <w:tcPr>
            <w:tcW w:w="280" w:type="dxa"/>
            <w:noWrap/>
            <w:vAlign w:val="bottom"/>
            <w:hideMark/>
          </w:tcPr>
          <w:p w:rsidR="00D120E6" w:rsidRDefault="00D120E6">
            <w:pPr>
              <w:jc w:val="left"/>
              <w:rPr>
                <w:rFonts w:ascii="Calibri" w:eastAsia="Calibri" w:hAnsi="Calibri"/>
                <w:sz w:val="20"/>
                <w:szCs w:val="20"/>
                <w:lang w:val="ru-RU"/>
              </w:rPr>
            </w:pPr>
          </w:p>
        </w:tc>
        <w:tc>
          <w:tcPr>
            <w:tcW w:w="265" w:type="dxa"/>
            <w:noWrap/>
            <w:vAlign w:val="bottom"/>
            <w:hideMark/>
          </w:tcPr>
          <w:p w:rsidR="00D120E6" w:rsidRDefault="00D120E6">
            <w:pPr>
              <w:jc w:val="left"/>
              <w:rPr>
                <w:rFonts w:ascii="Calibri" w:eastAsia="Calibri" w:hAnsi="Calibri"/>
                <w:sz w:val="20"/>
                <w:szCs w:val="20"/>
                <w:lang w:val="ru-RU"/>
              </w:rPr>
            </w:pPr>
          </w:p>
        </w:tc>
        <w:tc>
          <w:tcPr>
            <w:tcW w:w="414" w:type="dxa"/>
            <w:gridSpan w:val="3"/>
            <w:noWrap/>
            <w:vAlign w:val="bottom"/>
            <w:hideMark/>
          </w:tcPr>
          <w:p w:rsidR="00D120E6" w:rsidRDefault="00D120E6">
            <w:pPr>
              <w:jc w:val="left"/>
              <w:rPr>
                <w:rFonts w:ascii="Calibri" w:eastAsia="Calibri" w:hAnsi="Calibri"/>
                <w:sz w:val="20"/>
                <w:szCs w:val="20"/>
                <w:lang w:val="ru-RU"/>
              </w:rPr>
            </w:pPr>
          </w:p>
        </w:tc>
        <w:tc>
          <w:tcPr>
            <w:tcW w:w="265" w:type="dxa"/>
            <w:gridSpan w:val="2"/>
            <w:noWrap/>
            <w:vAlign w:val="bottom"/>
            <w:hideMark/>
          </w:tcPr>
          <w:p w:rsidR="00D120E6" w:rsidRDefault="00D120E6">
            <w:pPr>
              <w:jc w:val="left"/>
              <w:rPr>
                <w:rFonts w:ascii="Calibri" w:eastAsia="Calibri" w:hAnsi="Calibri"/>
                <w:sz w:val="20"/>
                <w:szCs w:val="20"/>
                <w:lang w:val="ru-RU"/>
              </w:rPr>
            </w:pPr>
          </w:p>
        </w:tc>
        <w:tc>
          <w:tcPr>
            <w:tcW w:w="270" w:type="dxa"/>
            <w:gridSpan w:val="2"/>
            <w:noWrap/>
            <w:vAlign w:val="bottom"/>
            <w:hideMark/>
          </w:tcPr>
          <w:p w:rsidR="00D120E6" w:rsidRDefault="00D120E6">
            <w:pPr>
              <w:jc w:val="left"/>
              <w:rPr>
                <w:rFonts w:ascii="Calibri" w:eastAsia="Calibri" w:hAnsi="Calibri"/>
                <w:sz w:val="20"/>
                <w:szCs w:val="20"/>
                <w:lang w:val="ru-RU"/>
              </w:rPr>
            </w:pPr>
          </w:p>
        </w:tc>
        <w:tc>
          <w:tcPr>
            <w:tcW w:w="266" w:type="dxa"/>
            <w:gridSpan w:val="2"/>
            <w:noWrap/>
            <w:vAlign w:val="bottom"/>
            <w:hideMark/>
          </w:tcPr>
          <w:p w:rsidR="00D120E6" w:rsidRDefault="00D120E6">
            <w:pPr>
              <w:jc w:val="left"/>
              <w:rPr>
                <w:rFonts w:ascii="Calibri" w:eastAsia="Calibri" w:hAnsi="Calibri"/>
                <w:sz w:val="20"/>
                <w:szCs w:val="20"/>
                <w:lang w:val="ru-RU"/>
              </w:rPr>
            </w:pPr>
          </w:p>
        </w:tc>
        <w:tc>
          <w:tcPr>
            <w:tcW w:w="242"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1000" w:type="dxa"/>
            <w:noWrap/>
            <w:vAlign w:val="bottom"/>
            <w:hideMark/>
          </w:tcPr>
          <w:p w:rsidR="00D120E6" w:rsidRDefault="00D120E6">
            <w:pPr>
              <w:jc w:val="left"/>
              <w:rPr>
                <w:rFonts w:ascii="Calibri" w:eastAsia="Calibri" w:hAnsi="Calibri"/>
                <w:sz w:val="20"/>
                <w:szCs w:val="20"/>
                <w:lang w:val="ru-RU"/>
              </w:rPr>
            </w:pPr>
          </w:p>
        </w:tc>
      </w:tr>
      <w:tr w:rsidR="00D120E6" w:rsidTr="00D120E6">
        <w:trPr>
          <w:gridAfter w:val="1"/>
          <w:wAfter w:w="319" w:type="dxa"/>
          <w:trHeight w:val="480"/>
        </w:trPr>
        <w:tc>
          <w:tcPr>
            <w:tcW w:w="10485" w:type="dxa"/>
            <w:gridSpan w:val="38"/>
            <w:vAlign w:val="bottom"/>
            <w:hideMark/>
          </w:tcPr>
          <w:p w:rsidR="00D120E6" w:rsidRDefault="00D120E6">
            <w:pPr>
              <w:rPr>
                <w:sz w:val="18"/>
                <w:szCs w:val="18"/>
                <w:lang w:eastAsia="uk-UA"/>
              </w:rPr>
            </w:pPr>
            <w:r>
              <w:rPr>
                <w:sz w:val="18"/>
                <w:szCs w:val="18"/>
                <w:lang w:eastAsia="uk-UA"/>
              </w:rPr>
              <w:t>Строки експлуатації, встановлені для нематеріальних активів, крім ліцензії на здійснення діяльності</w:t>
            </w:r>
          </w:p>
        </w:tc>
        <w:tc>
          <w:tcPr>
            <w:tcW w:w="4103" w:type="dxa"/>
            <w:gridSpan w:val="13"/>
            <w:tcBorders>
              <w:top w:val="nil"/>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5 років</w:t>
            </w:r>
          </w:p>
        </w:tc>
        <w:tc>
          <w:tcPr>
            <w:tcW w:w="276" w:type="dxa"/>
            <w:noWrap/>
            <w:vAlign w:val="bottom"/>
            <w:hideMark/>
          </w:tcPr>
          <w:p w:rsidR="00D120E6" w:rsidRDefault="00D120E6">
            <w:pPr>
              <w:jc w:val="left"/>
              <w:rPr>
                <w:rFonts w:ascii="Calibri" w:eastAsia="Calibri" w:hAnsi="Calibri"/>
                <w:sz w:val="20"/>
                <w:szCs w:val="20"/>
                <w:lang w:val="ru-RU"/>
              </w:rPr>
            </w:pPr>
          </w:p>
        </w:tc>
        <w:tc>
          <w:tcPr>
            <w:tcW w:w="256" w:type="dxa"/>
            <w:gridSpan w:val="2"/>
            <w:noWrap/>
            <w:vAlign w:val="bottom"/>
            <w:hideMark/>
          </w:tcPr>
          <w:p w:rsidR="00D120E6" w:rsidRDefault="00D120E6">
            <w:pPr>
              <w:jc w:val="left"/>
              <w:rPr>
                <w:rFonts w:ascii="Calibri" w:eastAsia="Calibri" w:hAnsi="Calibri"/>
                <w:sz w:val="20"/>
                <w:szCs w:val="20"/>
                <w:lang w:val="ru-RU"/>
              </w:rPr>
            </w:pPr>
          </w:p>
        </w:tc>
        <w:tc>
          <w:tcPr>
            <w:tcW w:w="248" w:type="dxa"/>
            <w:gridSpan w:val="2"/>
            <w:noWrap/>
            <w:vAlign w:val="bottom"/>
            <w:hideMark/>
          </w:tcPr>
          <w:p w:rsidR="00D120E6" w:rsidRDefault="00D120E6">
            <w:pPr>
              <w:jc w:val="left"/>
              <w:rPr>
                <w:rFonts w:ascii="Calibri" w:eastAsia="Calibri" w:hAnsi="Calibri"/>
                <w:sz w:val="20"/>
                <w:szCs w:val="20"/>
                <w:lang w:val="ru-RU"/>
              </w:rPr>
            </w:pPr>
          </w:p>
        </w:tc>
        <w:tc>
          <w:tcPr>
            <w:tcW w:w="271" w:type="dxa"/>
            <w:gridSpan w:val="2"/>
            <w:noWrap/>
            <w:vAlign w:val="bottom"/>
            <w:hideMark/>
          </w:tcPr>
          <w:p w:rsidR="00D120E6" w:rsidRDefault="00D120E6">
            <w:pPr>
              <w:jc w:val="left"/>
              <w:rPr>
                <w:rFonts w:ascii="Calibri" w:eastAsia="Calibri" w:hAnsi="Calibri"/>
                <w:sz w:val="20"/>
                <w:szCs w:val="20"/>
                <w:lang w:val="ru-RU"/>
              </w:rPr>
            </w:pPr>
          </w:p>
        </w:tc>
        <w:tc>
          <w:tcPr>
            <w:tcW w:w="1472" w:type="dxa"/>
            <w:gridSpan w:val="4"/>
            <w:noWrap/>
            <w:vAlign w:val="bottom"/>
            <w:hideMark/>
          </w:tcPr>
          <w:p w:rsidR="00D120E6" w:rsidRDefault="00D120E6">
            <w:pPr>
              <w:jc w:val="left"/>
              <w:rPr>
                <w:rFonts w:ascii="Calibri" w:eastAsia="Calibri" w:hAnsi="Calibri"/>
                <w:sz w:val="20"/>
                <w:szCs w:val="20"/>
                <w:lang w:val="ru-RU"/>
              </w:rPr>
            </w:pP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vanish/>
          <w:lang w:val="ru-RU"/>
        </w:rPr>
      </w:pPr>
    </w:p>
    <w:tbl>
      <w:tblPr>
        <w:tblW w:w="17430" w:type="dxa"/>
        <w:tblInd w:w="108" w:type="dxa"/>
        <w:tblLayout w:type="fixed"/>
        <w:tblLook w:val="04A0" w:firstRow="1" w:lastRow="0" w:firstColumn="1" w:lastColumn="0" w:noHBand="0" w:noVBand="1"/>
      </w:tblPr>
      <w:tblGrid>
        <w:gridCol w:w="10681"/>
        <w:gridCol w:w="4179"/>
        <w:gridCol w:w="281"/>
        <w:gridCol w:w="261"/>
        <w:gridCol w:w="253"/>
        <w:gridCol w:w="276"/>
        <w:gridCol w:w="1499"/>
      </w:tblGrid>
      <w:tr w:rsidR="00D120E6" w:rsidTr="00D120E6">
        <w:trPr>
          <w:trHeight w:val="255"/>
        </w:trPr>
        <w:tc>
          <w:tcPr>
            <w:tcW w:w="10485" w:type="dxa"/>
            <w:noWrap/>
            <w:vAlign w:val="bottom"/>
            <w:hideMark/>
          </w:tcPr>
          <w:p w:rsidR="00D120E6" w:rsidRDefault="00D120E6">
            <w:pPr>
              <w:rPr>
                <w:sz w:val="18"/>
                <w:szCs w:val="18"/>
                <w:lang w:eastAsia="uk-UA"/>
              </w:rPr>
            </w:pPr>
            <w:r>
              <w:rPr>
                <w:sz w:val="18"/>
                <w:szCs w:val="18"/>
                <w:lang w:eastAsia="uk-UA"/>
              </w:rPr>
              <w:t xml:space="preserve">Метод нарахування амортизації </w:t>
            </w:r>
          </w:p>
        </w:tc>
        <w:tc>
          <w:tcPr>
            <w:tcW w:w="4103" w:type="dxa"/>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прямолінійний</w:t>
            </w:r>
          </w:p>
        </w:tc>
        <w:tc>
          <w:tcPr>
            <w:tcW w:w="276" w:type="dxa"/>
            <w:noWrap/>
            <w:vAlign w:val="bottom"/>
            <w:hideMark/>
          </w:tcPr>
          <w:p w:rsidR="00D120E6" w:rsidRDefault="00D120E6">
            <w:pPr>
              <w:jc w:val="left"/>
              <w:rPr>
                <w:rFonts w:ascii="Calibri" w:eastAsia="Calibri" w:hAnsi="Calibri"/>
                <w:sz w:val="20"/>
                <w:szCs w:val="20"/>
                <w:lang w:val="ru-RU"/>
              </w:rPr>
            </w:pPr>
          </w:p>
        </w:tc>
        <w:tc>
          <w:tcPr>
            <w:tcW w:w="256" w:type="dxa"/>
            <w:noWrap/>
            <w:vAlign w:val="bottom"/>
            <w:hideMark/>
          </w:tcPr>
          <w:p w:rsidR="00D120E6" w:rsidRDefault="00D120E6">
            <w:pPr>
              <w:jc w:val="left"/>
              <w:rPr>
                <w:rFonts w:ascii="Calibri" w:eastAsia="Calibri" w:hAnsi="Calibri"/>
                <w:sz w:val="20"/>
                <w:szCs w:val="20"/>
                <w:lang w:val="ru-RU"/>
              </w:rPr>
            </w:pPr>
          </w:p>
        </w:tc>
        <w:tc>
          <w:tcPr>
            <w:tcW w:w="248" w:type="dxa"/>
            <w:noWrap/>
            <w:vAlign w:val="bottom"/>
            <w:hideMark/>
          </w:tcPr>
          <w:p w:rsidR="00D120E6" w:rsidRDefault="00D120E6">
            <w:pPr>
              <w:jc w:val="left"/>
              <w:rPr>
                <w:rFonts w:ascii="Calibri" w:eastAsia="Calibri" w:hAnsi="Calibri"/>
                <w:sz w:val="20"/>
                <w:szCs w:val="20"/>
                <w:lang w:val="ru-RU"/>
              </w:rPr>
            </w:pPr>
          </w:p>
        </w:tc>
        <w:tc>
          <w:tcPr>
            <w:tcW w:w="271" w:type="dxa"/>
            <w:noWrap/>
            <w:vAlign w:val="bottom"/>
            <w:hideMark/>
          </w:tcPr>
          <w:p w:rsidR="00D120E6" w:rsidRDefault="00D120E6">
            <w:pPr>
              <w:jc w:val="left"/>
              <w:rPr>
                <w:rFonts w:ascii="Calibri" w:eastAsia="Calibri" w:hAnsi="Calibri"/>
                <w:sz w:val="20"/>
                <w:szCs w:val="20"/>
                <w:lang w:val="ru-RU"/>
              </w:rPr>
            </w:pPr>
          </w:p>
        </w:tc>
        <w:tc>
          <w:tcPr>
            <w:tcW w:w="1472"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255"/>
        </w:trPr>
        <w:tc>
          <w:tcPr>
            <w:tcW w:w="10485" w:type="dxa"/>
            <w:noWrap/>
            <w:vAlign w:val="bottom"/>
            <w:hideMark/>
          </w:tcPr>
          <w:p w:rsidR="00D120E6" w:rsidRDefault="00D120E6">
            <w:pPr>
              <w:rPr>
                <w:sz w:val="18"/>
                <w:szCs w:val="18"/>
                <w:lang w:eastAsia="uk-UA"/>
              </w:rPr>
            </w:pPr>
            <w:r>
              <w:rPr>
                <w:sz w:val="18"/>
                <w:szCs w:val="18"/>
                <w:lang w:eastAsia="uk-UA"/>
              </w:rPr>
              <w:t>статті  звіту про сукупні доходи, в які включено амортизацію нематеріальних активів</w:t>
            </w:r>
          </w:p>
        </w:tc>
        <w:tc>
          <w:tcPr>
            <w:tcW w:w="4103" w:type="dxa"/>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2130, 2515</w:t>
            </w:r>
          </w:p>
        </w:tc>
        <w:tc>
          <w:tcPr>
            <w:tcW w:w="276" w:type="dxa"/>
            <w:noWrap/>
            <w:vAlign w:val="bottom"/>
            <w:hideMark/>
          </w:tcPr>
          <w:p w:rsidR="00D120E6" w:rsidRDefault="00D120E6">
            <w:pPr>
              <w:jc w:val="left"/>
              <w:rPr>
                <w:rFonts w:ascii="Calibri" w:eastAsia="Calibri" w:hAnsi="Calibri"/>
                <w:sz w:val="20"/>
                <w:szCs w:val="20"/>
                <w:lang w:val="ru-RU"/>
              </w:rPr>
            </w:pPr>
          </w:p>
        </w:tc>
        <w:tc>
          <w:tcPr>
            <w:tcW w:w="256" w:type="dxa"/>
            <w:noWrap/>
            <w:vAlign w:val="bottom"/>
            <w:hideMark/>
          </w:tcPr>
          <w:p w:rsidR="00D120E6" w:rsidRDefault="00D120E6">
            <w:pPr>
              <w:jc w:val="left"/>
              <w:rPr>
                <w:rFonts w:ascii="Calibri" w:eastAsia="Calibri" w:hAnsi="Calibri"/>
                <w:sz w:val="20"/>
                <w:szCs w:val="20"/>
                <w:lang w:val="ru-RU"/>
              </w:rPr>
            </w:pPr>
          </w:p>
        </w:tc>
        <w:tc>
          <w:tcPr>
            <w:tcW w:w="248" w:type="dxa"/>
            <w:noWrap/>
            <w:vAlign w:val="bottom"/>
            <w:hideMark/>
          </w:tcPr>
          <w:p w:rsidR="00D120E6" w:rsidRDefault="00D120E6">
            <w:pPr>
              <w:jc w:val="left"/>
              <w:rPr>
                <w:rFonts w:ascii="Calibri" w:eastAsia="Calibri" w:hAnsi="Calibri"/>
                <w:sz w:val="20"/>
                <w:szCs w:val="20"/>
                <w:lang w:val="ru-RU"/>
              </w:rPr>
            </w:pPr>
          </w:p>
        </w:tc>
        <w:tc>
          <w:tcPr>
            <w:tcW w:w="271" w:type="dxa"/>
            <w:noWrap/>
            <w:vAlign w:val="bottom"/>
            <w:hideMark/>
          </w:tcPr>
          <w:p w:rsidR="00D120E6" w:rsidRDefault="00D120E6">
            <w:pPr>
              <w:jc w:val="left"/>
              <w:rPr>
                <w:rFonts w:ascii="Calibri" w:eastAsia="Calibri" w:hAnsi="Calibri"/>
                <w:sz w:val="20"/>
                <w:szCs w:val="20"/>
                <w:lang w:val="ru-RU"/>
              </w:rPr>
            </w:pPr>
          </w:p>
        </w:tc>
        <w:tc>
          <w:tcPr>
            <w:tcW w:w="1472"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255"/>
        </w:trPr>
        <w:tc>
          <w:tcPr>
            <w:tcW w:w="10485" w:type="dxa"/>
            <w:noWrap/>
            <w:vAlign w:val="bottom"/>
            <w:hideMark/>
          </w:tcPr>
          <w:p w:rsidR="00D120E6" w:rsidRDefault="00D120E6">
            <w:pPr>
              <w:rPr>
                <w:sz w:val="18"/>
                <w:szCs w:val="18"/>
                <w:lang w:eastAsia="uk-UA"/>
              </w:rPr>
            </w:pPr>
            <w:r>
              <w:rPr>
                <w:sz w:val="18"/>
                <w:szCs w:val="18"/>
                <w:lang w:eastAsia="uk-UA"/>
              </w:rPr>
              <w:t>вартість нематеріальних активів, щодо яких існує обмеження права власності</w:t>
            </w:r>
          </w:p>
        </w:tc>
        <w:tc>
          <w:tcPr>
            <w:tcW w:w="4103" w:type="dxa"/>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немає</w:t>
            </w:r>
          </w:p>
        </w:tc>
        <w:tc>
          <w:tcPr>
            <w:tcW w:w="276" w:type="dxa"/>
            <w:noWrap/>
            <w:vAlign w:val="bottom"/>
            <w:hideMark/>
          </w:tcPr>
          <w:p w:rsidR="00D120E6" w:rsidRDefault="00D120E6">
            <w:pPr>
              <w:jc w:val="left"/>
              <w:rPr>
                <w:rFonts w:ascii="Calibri" w:eastAsia="Calibri" w:hAnsi="Calibri"/>
                <w:sz w:val="20"/>
                <w:szCs w:val="20"/>
                <w:lang w:val="ru-RU"/>
              </w:rPr>
            </w:pPr>
          </w:p>
        </w:tc>
        <w:tc>
          <w:tcPr>
            <w:tcW w:w="256" w:type="dxa"/>
            <w:noWrap/>
            <w:vAlign w:val="bottom"/>
            <w:hideMark/>
          </w:tcPr>
          <w:p w:rsidR="00D120E6" w:rsidRDefault="00D120E6">
            <w:pPr>
              <w:jc w:val="left"/>
              <w:rPr>
                <w:rFonts w:ascii="Calibri" w:eastAsia="Calibri" w:hAnsi="Calibri"/>
                <w:sz w:val="20"/>
                <w:szCs w:val="20"/>
                <w:lang w:val="ru-RU"/>
              </w:rPr>
            </w:pPr>
          </w:p>
        </w:tc>
        <w:tc>
          <w:tcPr>
            <w:tcW w:w="248" w:type="dxa"/>
            <w:noWrap/>
            <w:vAlign w:val="bottom"/>
            <w:hideMark/>
          </w:tcPr>
          <w:p w:rsidR="00D120E6" w:rsidRDefault="00D120E6">
            <w:pPr>
              <w:jc w:val="left"/>
              <w:rPr>
                <w:rFonts w:ascii="Calibri" w:eastAsia="Calibri" w:hAnsi="Calibri"/>
                <w:sz w:val="20"/>
                <w:szCs w:val="20"/>
                <w:lang w:val="ru-RU"/>
              </w:rPr>
            </w:pPr>
          </w:p>
        </w:tc>
        <w:tc>
          <w:tcPr>
            <w:tcW w:w="271" w:type="dxa"/>
            <w:noWrap/>
            <w:vAlign w:val="bottom"/>
            <w:hideMark/>
          </w:tcPr>
          <w:p w:rsidR="00D120E6" w:rsidRDefault="00D120E6">
            <w:pPr>
              <w:jc w:val="left"/>
              <w:rPr>
                <w:rFonts w:ascii="Calibri" w:eastAsia="Calibri" w:hAnsi="Calibri"/>
                <w:sz w:val="20"/>
                <w:szCs w:val="20"/>
                <w:lang w:val="ru-RU"/>
              </w:rPr>
            </w:pPr>
          </w:p>
        </w:tc>
        <w:tc>
          <w:tcPr>
            <w:tcW w:w="1472"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255"/>
        </w:trPr>
        <w:tc>
          <w:tcPr>
            <w:tcW w:w="10485" w:type="dxa"/>
            <w:noWrap/>
            <w:vAlign w:val="bottom"/>
            <w:hideMark/>
          </w:tcPr>
          <w:p w:rsidR="00D120E6" w:rsidRDefault="00D120E6">
            <w:pPr>
              <w:rPr>
                <w:sz w:val="18"/>
                <w:szCs w:val="18"/>
                <w:lang w:eastAsia="uk-UA"/>
              </w:rPr>
            </w:pPr>
            <w:r>
              <w:rPr>
                <w:sz w:val="18"/>
                <w:szCs w:val="18"/>
                <w:lang w:eastAsia="uk-UA"/>
              </w:rPr>
              <w:t>вартість оформлених у заставу нематеріальних активів</w:t>
            </w:r>
          </w:p>
        </w:tc>
        <w:tc>
          <w:tcPr>
            <w:tcW w:w="4103" w:type="dxa"/>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немає</w:t>
            </w:r>
          </w:p>
        </w:tc>
        <w:tc>
          <w:tcPr>
            <w:tcW w:w="276" w:type="dxa"/>
            <w:noWrap/>
            <w:vAlign w:val="bottom"/>
            <w:hideMark/>
          </w:tcPr>
          <w:p w:rsidR="00D120E6" w:rsidRDefault="00D120E6">
            <w:pPr>
              <w:jc w:val="left"/>
              <w:rPr>
                <w:rFonts w:ascii="Calibri" w:eastAsia="Calibri" w:hAnsi="Calibri"/>
                <w:sz w:val="20"/>
                <w:szCs w:val="20"/>
                <w:lang w:val="ru-RU"/>
              </w:rPr>
            </w:pPr>
          </w:p>
        </w:tc>
        <w:tc>
          <w:tcPr>
            <w:tcW w:w="256" w:type="dxa"/>
            <w:noWrap/>
            <w:vAlign w:val="bottom"/>
            <w:hideMark/>
          </w:tcPr>
          <w:p w:rsidR="00D120E6" w:rsidRDefault="00D120E6">
            <w:pPr>
              <w:jc w:val="left"/>
              <w:rPr>
                <w:rFonts w:ascii="Calibri" w:eastAsia="Calibri" w:hAnsi="Calibri"/>
                <w:sz w:val="20"/>
                <w:szCs w:val="20"/>
                <w:lang w:val="ru-RU"/>
              </w:rPr>
            </w:pPr>
          </w:p>
        </w:tc>
        <w:tc>
          <w:tcPr>
            <w:tcW w:w="248" w:type="dxa"/>
            <w:noWrap/>
            <w:vAlign w:val="bottom"/>
            <w:hideMark/>
          </w:tcPr>
          <w:p w:rsidR="00D120E6" w:rsidRDefault="00D120E6">
            <w:pPr>
              <w:jc w:val="left"/>
              <w:rPr>
                <w:rFonts w:ascii="Calibri" w:eastAsia="Calibri" w:hAnsi="Calibri"/>
                <w:sz w:val="20"/>
                <w:szCs w:val="20"/>
                <w:lang w:val="ru-RU"/>
              </w:rPr>
            </w:pPr>
          </w:p>
        </w:tc>
        <w:tc>
          <w:tcPr>
            <w:tcW w:w="271" w:type="dxa"/>
            <w:noWrap/>
            <w:vAlign w:val="bottom"/>
            <w:hideMark/>
          </w:tcPr>
          <w:p w:rsidR="00D120E6" w:rsidRDefault="00D120E6">
            <w:pPr>
              <w:jc w:val="left"/>
              <w:rPr>
                <w:rFonts w:ascii="Calibri" w:eastAsia="Calibri" w:hAnsi="Calibri"/>
                <w:sz w:val="20"/>
                <w:szCs w:val="20"/>
                <w:lang w:val="ru-RU"/>
              </w:rPr>
            </w:pPr>
          </w:p>
        </w:tc>
        <w:tc>
          <w:tcPr>
            <w:tcW w:w="1472"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255"/>
        </w:trPr>
        <w:tc>
          <w:tcPr>
            <w:tcW w:w="10485" w:type="dxa"/>
            <w:noWrap/>
            <w:vAlign w:val="bottom"/>
            <w:hideMark/>
          </w:tcPr>
          <w:p w:rsidR="00D120E6" w:rsidRDefault="00D120E6">
            <w:pPr>
              <w:rPr>
                <w:sz w:val="18"/>
                <w:szCs w:val="18"/>
                <w:lang w:eastAsia="uk-UA"/>
              </w:rPr>
            </w:pPr>
            <w:r>
              <w:rPr>
                <w:sz w:val="18"/>
                <w:szCs w:val="18"/>
                <w:lang w:eastAsia="uk-UA"/>
              </w:rPr>
              <w:t>вартість створених кредитною спілкою нематеріальних активів</w:t>
            </w:r>
          </w:p>
        </w:tc>
        <w:tc>
          <w:tcPr>
            <w:tcW w:w="4103" w:type="dxa"/>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немає</w:t>
            </w:r>
          </w:p>
        </w:tc>
        <w:tc>
          <w:tcPr>
            <w:tcW w:w="276" w:type="dxa"/>
            <w:noWrap/>
            <w:vAlign w:val="bottom"/>
            <w:hideMark/>
          </w:tcPr>
          <w:p w:rsidR="00D120E6" w:rsidRDefault="00D120E6">
            <w:pPr>
              <w:jc w:val="left"/>
              <w:rPr>
                <w:rFonts w:ascii="Calibri" w:eastAsia="Calibri" w:hAnsi="Calibri"/>
                <w:sz w:val="20"/>
                <w:szCs w:val="20"/>
                <w:lang w:val="ru-RU"/>
              </w:rPr>
            </w:pPr>
          </w:p>
        </w:tc>
        <w:tc>
          <w:tcPr>
            <w:tcW w:w="256" w:type="dxa"/>
            <w:noWrap/>
            <w:vAlign w:val="bottom"/>
            <w:hideMark/>
          </w:tcPr>
          <w:p w:rsidR="00D120E6" w:rsidRDefault="00D120E6">
            <w:pPr>
              <w:jc w:val="left"/>
              <w:rPr>
                <w:rFonts w:ascii="Calibri" w:eastAsia="Calibri" w:hAnsi="Calibri"/>
                <w:sz w:val="20"/>
                <w:szCs w:val="20"/>
                <w:lang w:val="ru-RU"/>
              </w:rPr>
            </w:pPr>
          </w:p>
        </w:tc>
        <w:tc>
          <w:tcPr>
            <w:tcW w:w="248" w:type="dxa"/>
            <w:noWrap/>
            <w:vAlign w:val="bottom"/>
            <w:hideMark/>
          </w:tcPr>
          <w:p w:rsidR="00D120E6" w:rsidRDefault="00D120E6">
            <w:pPr>
              <w:jc w:val="left"/>
              <w:rPr>
                <w:rFonts w:ascii="Calibri" w:eastAsia="Calibri" w:hAnsi="Calibri"/>
                <w:sz w:val="20"/>
                <w:szCs w:val="20"/>
                <w:lang w:val="ru-RU"/>
              </w:rPr>
            </w:pPr>
          </w:p>
        </w:tc>
        <w:tc>
          <w:tcPr>
            <w:tcW w:w="271" w:type="dxa"/>
            <w:noWrap/>
            <w:vAlign w:val="bottom"/>
            <w:hideMark/>
          </w:tcPr>
          <w:p w:rsidR="00D120E6" w:rsidRDefault="00D120E6">
            <w:pPr>
              <w:jc w:val="left"/>
              <w:rPr>
                <w:rFonts w:ascii="Calibri" w:eastAsia="Calibri" w:hAnsi="Calibri"/>
                <w:sz w:val="20"/>
                <w:szCs w:val="20"/>
                <w:lang w:val="ru-RU"/>
              </w:rPr>
            </w:pPr>
          </w:p>
        </w:tc>
        <w:tc>
          <w:tcPr>
            <w:tcW w:w="1472"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525"/>
        </w:trPr>
        <w:tc>
          <w:tcPr>
            <w:tcW w:w="10485" w:type="dxa"/>
            <w:vAlign w:val="bottom"/>
            <w:hideMark/>
          </w:tcPr>
          <w:p w:rsidR="00D120E6" w:rsidRDefault="00D120E6">
            <w:pPr>
              <w:rPr>
                <w:sz w:val="18"/>
                <w:szCs w:val="18"/>
                <w:lang w:eastAsia="uk-UA"/>
              </w:rPr>
            </w:pPr>
            <w:r>
              <w:rPr>
                <w:sz w:val="18"/>
                <w:szCs w:val="18"/>
                <w:lang w:eastAsia="uk-UA"/>
              </w:rPr>
              <w:t>накопичена амортизація нематеріальних активів, щодо яких існує обмеження права власності</w:t>
            </w:r>
          </w:p>
        </w:tc>
        <w:tc>
          <w:tcPr>
            <w:tcW w:w="4103" w:type="dxa"/>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немає</w:t>
            </w:r>
          </w:p>
        </w:tc>
        <w:tc>
          <w:tcPr>
            <w:tcW w:w="276" w:type="dxa"/>
            <w:noWrap/>
            <w:vAlign w:val="bottom"/>
            <w:hideMark/>
          </w:tcPr>
          <w:p w:rsidR="00D120E6" w:rsidRDefault="00D120E6">
            <w:pPr>
              <w:jc w:val="left"/>
              <w:rPr>
                <w:rFonts w:ascii="Calibri" w:eastAsia="Calibri" w:hAnsi="Calibri"/>
                <w:sz w:val="20"/>
                <w:szCs w:val="20"/>
                <w:lang w:val="ru-RU"/>
              </w:rPr>
            </w:pPr>
          </w:p>
        </w:tc>
        <w:tc>
          <w:tcPr>
            <w:tcW w:w="256" w:type="dxa"/>
            <w:noWrap/>
            <w:vAlign w:val="bottom"/>
            <w:hideMark/>
          </w:tcPr>
          <w:p w:rsidR="00D120E6" w:rsidRDefault="00D120E6">
            <w:pPr>
              <w:jc w:val="left"/>
              <w:rPr>
                <w:rFonts w:ascii="Calibri" w:eastAsia="Calibri" w:hAnsi="Calibri"/>
                <w:sz w:val="20"/>
                <w:szCs w:val="20"/>
                <w:lang w:val="ru-RU"/>
              </w:rPr>
            </w:pPr>
          </w:p>
        </w:tc>
        <w:tc>
          <w:tcPr>
            <w:tcW w:w="248" w:type="dxa"/>
            <w:noWrap/>
            <w:vAlign w:val="bottom"/>
            <w:hideMark/>
          </w:tcPr>
          <w:p w:rsidR="00D120E6" w:rsidRDefault="00D120E6">
            <w:pPr>
              <w:jc w:val="left"/>
              <w:rPr>
                <w:rFonts w:ascii="Calibri" w:eastAsia="Calibri" w:hAnsi="Calibri"/>
                <w:sz w:val="20"/>
                <w:szCs w:val="20"/>
                <w:lang w:val="ru-RU"/>
              </w:rPr>
            </w:pPr>
          </w:p>
        </w:tc>
        <w:tc>
          <w:tcPr>
            <w:tcW w:w="271" w:type="dxa"/>
            <w:noWrap/>
            <w:vAlign w:val="bottom"/>
            <w:hideMark/>
          </w:tcPr>
          <w:p w:rsidR="00D120E6" w:rsidRDefault="00D120E6">
            <w:pPr>
              <w:jc w:val="left"/>
              <w:rPr>
                <w:rFonts w:ascii="Calibri" w:eastAsia="Calibri" w:hAnsi="Calibri"/>
                <w:sz w:val="20"/>
                <w:szCs w:val="20"/>
                <w:lang w:val="ru-RU"/>
              </w:rPr>
            </w:pPr>
          </w:p>
        </w:tc>
        <w:tc>
          <w:tcPr>
            <w:tcW w:w="1472" w:type="dxa"/>
            <w:noWrap/>
            <w:vAlign w:val="bottom"/>
            <w:hideMark/>
          </w:tcPr>
          <w:p w:rsidR="00D120E6" w:rsidRDefault="00D120E6">
            <w:pPr>
              <w:jc w:val="left"/>
              <w:rPr>
                <w:rFonts w:ascii="Calibri" w:eastAsia="Calibri" w:hAnsi="Calibri"/>
                <w:sz w:val="20"/>
                <w:szCs w:val="20"/>
                <w:lang w:val="ru-RU"/>
              </w:rPr>
            </w:pP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vanish/>
          <w:lang w:val="ru-RU"/>
        </w:rPr>
      </w:pPr>
    </w:p>
    <w:tbl>
      <w:tblPr>
        <w:tblW w:w="17430" w:type="dxa"/>
        <w:tblInd w:w="108" w:type="dxa"/>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345"/>
        <w:gridCol w:w="345"/>
        <w:gridCol w:w="344"/>
        <w:gridCol w:w="236"/>
        <w:gridCol w:w="236"/>
        <w:gridCol w:w="236"/>
        <w:gridCol w:w="264"/>
        <w:gridCol w:w="265"/>
        <w:gridCol w:w="265"/>
        <w:gridCol w:w="487"/>
        <w:gridCol w:w="339"/>
        <w:gridCol w:w="236"/>
        <w:gridCol w:w="294"/>
        <w:gridCol w:w="294"/>
        <w:gridCol w:w="295"/>
        <w:gridCol w:w="256"/>
        <w:gridCol w:w="256"/>
        <w:gridCol w:w="268"/>
        <w:gridCol w:w="268"/>
        <w:gridCol w:w="236"/>
        <w:gridCol w:w="319"/>
        <w:gridCol w:w="320"/>
        <w:gridCol w:w="318"/>
        <w:gridCol w:w="348"/>
        <w:gridCol w:w="347"/>
        <w:gridCol w:w="236"/>
        <w:gridCol w:w="237"/>
        <w:gridCol w:w="691"/>
        <w:gridCol w:w="377"/>
        <w:gridCol w:w="236"/>
        <w:gridCol w:w="307"/>
        <w:gridCol w:w="236"/>
        <w:gridCol w:w="635"/>
        <w:gridCol w:w="236"/>
        <w:gridCol w:w="280"/>
        <w:gridCol w:w="280"/>
        <w:gridCol w:w="265"/>
        <w:gridCol w:w="414"/>
        <w:gridCol w:w="265"/>
        <w:gridCol w:w="270"/>
        <w:gridCol w:w="266"/>
        <w:gridCol w:w="242"/>
        <w:gridCol w:w="236"/>
        <w:gridCol w:w="236"/>
        <w:gridCol w:w="1000"/>
      </w:tblGrid>
      <w:tr w:rsidR="00D120E6" w:rsidTr="00D120E6">
        <w:trPr>
          <w:trHeight w:val="255"/>
        </w:trPr>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345" w:type="dxa"/>
            <w:noWrap/>
            <w:vAlign w:val="bottom"/>
            <w:hideMark/>
          </w:tcPr>
          <w:p w:rsidR="00D120E6" w:rsidRDefault="00D120E6">
            <w:pPr>
              <w:jc w:val="left"/>
              <w:rPr>
                <w:rFonts w:ascii="Calibri" w:eastAsia="Calibri" w:hAnsi="Calibri"/>
                <w:sz w:val="20"/>
                <w:szCs w:val="20"/>
                <w:lang w:val="ru-RU"/>
              </w:rPr>
            </w:pPr>
          </w:p>
        </w:tc>
        <w:tc>
          <w:tcPr>
            <w:tcW w:w="345" w:type="dxa"/>
            <w:noWrap/>
            <w:vAlign w:val="bottom"/>
            <w:hideMark/>
          </w:tcPr>
          <w:p w:rsidR="00D120E6" w:rsidRDefault="00D120E6">
            <w:pPr>
              <w:jc w:val="left"/>
              <w:rPr>
                <w:rFonts w:ascii="Calibri" w:eastAsia="Calibri" w:hAnsi="Calibri"/>
                <w:sz w:val="20"/>
                <w:szCs w:val="20"/>
                <w:lang w:val="ru-RU"/>
              </w:rPr>
            </w:pPr>
          </w:p>
        </w:tc>
        <w:tc>
          <w:tcPr>
            <w:tcW w:w="344"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64" w:type="dxa"/>
            <w:noWrap/>
            <w:vAlign w:val="bottom"/>
            <w:hideMark/>
          </w:tcPr>
          <w:p w:rsidR="00D120E6" w:rsidRDefault="00D120E6">
            <w:pPr>
              <w:jc w:val="left"/>
              <w:rPr>
                <w:rFonts w:ascii="Calibri" w:eastAsia="Calibri" w:hAnsi="Calibri"/>
                <w:sz w:val="20"/>
                <w:szCs w:val="20"/>
                <w:lang w:val="ru-RU"/>
              </w:rPr>
            </w:pPr>
          </w:p>
        </w:tc>
        <w:tc>
          <w:tcPr>
            <w:tcW w:w="265" w:type="dxa"/>
            <w:noWrap/>
            <w:vAlign w:val="bottom"/>
            <w:hideMark/>
          </w:tcPr>
          <w:p w:rsidR="00D120E6" w:rsidRDefault="00D120E6">
            <w:pPr>
              <w:jc w:val="left"/>
              <w:rPr>
                <w:rFonts w:ascii="Calibri" w:eastAsia="Calibri" w:hAnsi="Calibri"/>
                <w:sz w:val="20"/>
                <w:szCs w:val="20"/>
                <w:lang w:val="ru-RU"/>
              </w:rPr>
            </w:pPr>
          </w:p>
        </w:tc>
        <w:tc>
          <w:tcPr>
            <w:tcW w:w="265" w:type="dxa"/>
            <w:noWrap/>
            <w:vAlign w:val="bottom"/>
            <w:hideMark/>
          </w:tcPr>
          <w:p w:rsidR="00D120E6" w:rsidRDefault="00D120E6">
            <w:pPr>
              <w:jc w:val="left"/>
              <w:rPr>
                <w:rFonts w:ascii="Calibri" w:eastAsia="Calibri" w:hAnsi="Calibri"/>
                <w:sz w:val="20"/>
                <w:szCs w:val="20"/>
                <w:lang w:val="ru-RU"/>
              </w:rPr>
            </w:pPr>
          </w:p>
        </w:tc>
        <w:tc>
          <w:tcPr>
            <w:tcW w:w="487" w:type="dxa"/>
            <w:noWrap/>
            <w:vAlign w:val="bottom"/>
            <w:hideMark/>
          </w:tcPr>
          <w:p w:rsidR="00D120E6" w:rsidRDefault="00D120E6">
            <w:pPr>
              <w:jc w:val="left"/>
              <w:rPr>
                <w:rFonts w:ascii="Calibri" w:eastAsia="Calibri" w:hAnsi="Calibri"/>
                <w:sz w:val="20"/>
                <w:szCs w:val="20"/>
                <w:lang w:val="ru-RU"/>
              </w:rPr>
            </w:pPr>
          </w:p>
        </w:tc>
        <w:tc>
          <w:tcPr>
            <w:tcW w:w="339"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94" w:type="dxa"/>
            <w:noWrap/>
            <w:vAlign w:val="bottom"/>
            <w:hideMark/>
          </w:tcPr>
          <w:p w:rsidR="00D120E6" w:rsidRDefault="00D120E6">
            <w:pPr>
              <w:jc w:val="left"/>
              <w:rPr>
                <w:rFonts w:ascii="Calibri" w:eastAsia="Calibri" w:hAnsi="Calibri"/>
                <w:sz w:val="20"/>
                <w:szCs w:val="20"/>
                <w:lang w:val="ru-RU"/>
              </w:rPr>
            </w:pPr>
          </w:p>
        </w:tc>
        <w:tc>
          <w:tcPr>
            <w:tcW w:w="294" w:type="dxa"/>
            <w:noWrap/>
            <w:vAlign w:val="bottom"/>
            <w:hideMark/>
          </w:tcPr>
          <w:p w:rsidR="00D120E6" w:rsidRDefault="00D120E6">
            <w:pPr>
              <w:jc w:val="left"/>
              <w:rPr>
                <w:rFonts w:ascii="Calibri" w:eastAsia="Calibri" w:hAnsi="Calibri"/>
                <w:sz w:val="20"/>
                <w:szCs w:val="20"/>
                <w:lang w:val="ru-RU"/>
              </w:rPr>
            </w:pPr>
          </w:p>
        </w:tc>
        <w:tc>
          <w:tcPr>
            <w:tcW w:w="295" w:type="dxa"/>
            <w:noWrap/>
            <w:vAlign w:val="bottom"/>
            <w:hideMark/>
          </w:tcPr>
          <w:p w:rsidR="00D120E6" w:rsidRDefault="00D120E6">
            <w:pPr>
              <w:jc w:val="left"/>
              <w:rPr>
                <w:rFonts w:ascii="Calibri" w:eastAsia="Calibri" w:hAnsi="Calibri"/>
                <w:sz w:val="20"/>
                <w:szCs w:val="20"/>
                <w:lang w:val="ru-RU"/>
              </w:rPr>
            </w:pPr>
          </w:p>
        </w:tc>
        <w:tc>
          <w:tcPr>
            <w:tcW w:w="256" w:type="dxa"/>
            <w:noWrap/>
            <w:vAlign w:val="bottom"/>
            <w:hideMark/>
          </w:tcPr>
          <w:p w:rsidR="00D120E6" w:rsidRDefault="00D120E6">
            <w:pPr>
              <w:jc w:val="left"/>
              <w:rPr>
                <w:rFonts w:ascii="Calibri" w:eastAsia="Calibri" w:hAnsi="Calibri"/>
                <w:sz w:val="20"/>
                <w:szCs w:val="20"/>
                <w:lang w:val="ru-RU"/>
              </w:rPr>
            </w:pPr>
          </w:p>
        </w:tc>
        <w:tc>
          <w:tcPr>
            <w:tcW w:w="256" w:type="dxa"/>
            <w:noWrap/>
            <w:vAlign w:val="bottom"/>
            <w:hideMark/>
          </w:tcPr>
          <w:p w:rsidR="00D120E6" w:rsidRDefault="00D120E6">
            <w:pPr>
              <w:jc w:val="left"/>
              <w:rPr>
                <w:rFonts w:ascii="Calibri" w:eastAsia="Calibri" w:hAnsi="Calibri"/>
                <w:sz w:val="20"/>
                <w:szCs w:val="20"/>
                <w:lang w:val="ru-RU"/>
              </w:rPr>
            </w:pPr>
          </w:p>
        </w:tc>
        <w:tc>
          <w:tcPr>
            <w:tcW w:w="268" w:type="dxa"/>
            <w:noWrap/>
            <w:vAlign w:val="bottom"/>
            <w:hideMark/>
          </w:tcPr>
          <w:p w:rsidR="00D120E6" w:rsidRDefault="00D120E6">
            <w:pPr>
              <w:jc w:val="left"/>
              <w:rPr>
                <w:rFonts w:ascii="Calibri" w:eastAsia="Calibri" w:hAnsi="Calibri"/>
                <w:sz w:val="20"/>
                <w:szCs w:val="20"/>
                <w:lang w:val="ru-RU"/>
              </w:rPr>
            </w:pPr>
          </w:p>
        </w:tc>
        <w:tc>
          <w:tcPr>
            <w:tcW w:w="268"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319" w:type="dxa"/>
            <w:noWrap/>
            <w:vAlign w:val="bottom"/>
            <w:hideMark/>
          </w:tcPr>
          <w:p w:rsidR="00D120E6" w:rsidRDefault="00D120E6">
            <w:pPr>
              <w:jc w:val="left"/>
              <w:rPr>
                <w:rFonts w:ascii="Calibri" w:eastAsia="Calibri" w:hAnsi="Calibri"/>
                <w:sz w:val="20"/>
                <w:szCs w:val="20"/>
                <w:lang w:val="ru-RU"/>
              </w:rPr>
            </w:pPr>
          </w:p>
        </w:tc>
        <w:tc>
          <w:tcPr>
            <w:tcW w:w="320" w:type="dxa"/>
            <w:noWrap/>
            <w:vAlign w:val="bottom"/>
            <w:hideMark/>
          </w:tcPr>
          <w:p w:rsidR="00D120E6" w:rsidRDefault="00D120E6">
            <w:pPr>
              <w:jc w:val="left"/>
              <w:rPr>
                <w:rFonts w:ascii="Calibri" w:eastAsia="Calibri" w:hAnsi="Calibri"/>
                <w:sz w:val="20"/>
                <w:szCs w:val="20"/>
                <w:lang w:val="ru-RU"/>
              </w:rPr>
            </w:pPr>
          </w:p>
        </w:tc>
        <w:tc>
          <w:tcPr>
            <w:tcW w:w="318" w:type="dxa"/>
            <w:noWrap/>
            <w:vAlign w:val="bottom"/>
            <w:hideMark/>
          </w:tcPr>
          <w:p w:rsidR="00D120E6" w:rsidRDefault="00D120E6">
            <w:pPr>
              <w:jc w:val="left"/>
              <w:rPr>
                <w:rFonts w:ascii="Calibri" w:eastAsia="Calibri" w:hAnsi="Calibri"/>
                <w:sz w:val="20"/>
                <w:szCs w:val="20"/>
                <w:lang w:val="ru-RU"/>
              </w:rPr>
            </w:pPr>
          </w:p>
        </w:tc>
        <w:tc>
          <w:tcPr>
            <w:tcW w:w="348" w:type="dxa"/>
            <w:noWrap/>
            <w:vAlign w:val="bottom"/>
            <w:hideMark/>
          </w:tcPr>
          <w:p w:rsidR="00D120E6" w:rsidRDefault="00D120E6">
            <w:pPr>
              <w:jc w:val="left"/>
              <w:rPr>
                <w:rFonts w:ascii="Calibri" w:eastAsia="Calibri" w:hAnsi="Calibri"/>
                <w:sz w:val="20"/>
                <w:szCs w:val="20"/>
                <w:lang w:val="ru-RU"/>
              </w:rPr>
            </w:pPr>
          </w:p>
        </w:tc>
        <w:tc>
          <w:tcPr>
            <w:tcW w:w="347"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7" w:type="dxa"/>
            <w:noWrap/>
            <w:vAlign w:val="bottom"/>
            <w:hideMark/>
          </w:tcPr>
          <w:p w:rsidR="00D120E6" w:rsidRDefault="00D120E6">
            <w:pPr>
              <w:jc w:val="left"/>
              <w:rPr>
                <w:rFonts w:ascii="Calibri" w:eastAsia="Calibri" w:hAnsi="Calibri"/>
                <w:sz w:val="20"/>
                <w:szCs w:val="20"/>
                <w:lang w:val="ru-RU"/>
              </w:rPr>
            </w:pPr>
          </w:p>
        </w:tc>
        <w:tc>
          <w:tcPr>
            <w:tcW w:w="691" w:type="dxa"/>
            <w:noWrap/>
            <w:vAlign w:val="bottom"/>
            <w:hideMark/>
          </w:tcPr>
          <w:p w:rsidR="00D120E6" w:rsidRDefault="00D120E6">
            <w:pPr>
              <w:jc w:val="left"/>
              <w:rPr>
                <w:rFonts w:ascii="Calibri" w:eastAsia="Calibri" w:hAnsi="Calibri"/>
                <w:sz w:val="20"/>
                <w:szCs w:val="20"/>
                <w:lang w:val="ru-RU"/>
              </w:rPr>
            </w:pPr>
          </w:p>
        </w:tc>
        <w:tc>
          <w:tcPr>
            <w:tcW w:w="377"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307"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635"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80" w:type="dxa"/>
            <w:noWrap/>
            <w:vAlign w:val="bottom"/>
            <w:hideMark/>
          </w:tcPr>
          <w:p w:rsidR="00D120E6" w:rsidRDefault="00D120E6">
            <w:pPr>
              <w:jc w:val="left"/>
              <w:rPr>
                <w:rFonts w:ascii="Calibri" w:eastAsia="Calibri" w:hAnsi="Calibri"/>
                <w:sz w:val="20"/>
                <w:szCs w:val="20"/>
                <w:lang w:val="ru-RU"/>
              </w:rPr>
            </w:pPr>
          </w:p>
        </w:tc>
        <w:tc>
          <w:tcPr>
            <w:tcW w:w="280" w:type="dxa"/>
            <w:noWrap/>
            <w:vAlign w:val="bottom"/>
            <w:hideMark/>
          </w:tcPr>
          <w:p w:rsidR="00D120E6" w:rsidRDefault="00D120E6">
            <w:pPr>
              <w:jc w:val="left"/>
              <w:rPr>
                <w:rFonts w:ascii="Calibri" w:eastAsia="Calibri" w:hAnsi="Calibri"/>
                <w:sz w:val="20"/>
                <w:szCs w:val="20"/>
                <w:lang w:val="ru-RU"/>
              </w:rPr>
            </w:pPr>
          </w:p>
        </w:tc>
        <w:tc>
          <w:tcPr>
            <w:tcW w:w="265" w:type="dxa"/>
            <w:noWrap/>
            <w:vAlign w:val="bottom"/>
            <w:hideMark/>
          </w:tcPr>
          <w:p w:rsidR="00D120E6" w:rsidRDefault="00D120E6">
            <w:pPr>
              <w:jc w:val="left"/>
              <w:rPr>
                <w:rFonts w:ascii="Calibri" w:eastAsia="Calibri" w:hAnsi="Calibri"/>
                <w:sz w:val="20"/>
                <w:szCs w:val="20"/>
                <w:lang w:val="ru-RU"/>
              </w:rPr>
            </w:pPr>
          </w:p>
        </w:tc>
        <w:tc>
          <w:tcPr>
            <w:tcW w:w="414" w:type="dxa"/>
            <w:noWrap/>
            <w:vAlign w:val="bottom"/>
            <w:hideMark/>
          </w:tcPr>
          <w:p w:rsidR="00D120E6" w:rsidRDefault="00D120E6">
            <w:pPr>
              <w:jc w:val="left"/>
              <w:rPr>
                <w:rFonts w:ascii="Calibri" w:eastAsia="Calibri" w:hAnsi="Calibri"/>
                <w:sz w:val="20"/>
                <w:szCs w:val="20"/>
                <w:lang w:val="ru-RU"/>
              </w:rPr>
            </w:pPr>
          </w:p>
        </w:tc>
        <w:tc>
          <w:tcPr>
            <w:tcW w:w="265" w:type="dxa"/>
            <w:noWrap/>
            <w:vAlign w:val="bottom"/>
            <w:hideMark/>
          </w:tcPr>
          <w:p w:rsidR="00D120E6" w:rsidRDefault="00D120E6">
            <w:pPr>
              <w:jc w:val="left"/>
              <w:rPr>
                <w:rFonts w:ascii="Calibri" w:eastAsia="Calibri" w:hAnsi="Calibri"/>
                <w:sz w:val="20"/>
                <w:szCs w:val="20"/>
                <w:lang w:val="ru-RU"/>
              </w:rPr>
            </w:pPr>
          </w:p>
        </w:tc>
        <w:tc>
          <w:tcPr>
            <w:tcW w:w="270" w:type="dxa"/>
            <w:noWrap/>
            <w:vAlign w:val="bottom"/>
            <w:hideMark/>
          </w:tcPr>
          <w:p w:rsidR="00D120E6" w:rsidRDefault="00D120E6">
            <w:pPr>
              <w:jc w:val="left"/>
              <w:rPr>
                <w:rFonts w:ascii="Calibri" w:eastAsia="Calibri" w:hAnsi="Calibri"/>
                <w:sz w:val="20"/>
                <w:szCs w:val="20"/>
                <w:lang w:val="ru-RU"/>
              </w:rPr>
            </w:pPr>
          </w:p>
        </w:tc>
        <w:tc>
          <w:tcPr>
            <w:tcW w:w="266" w:type="dxa"/>
            <w:noWrap/>
            <w:vAlign w:val="bottom"/>
            <w:hideMark/>
          </w:tcPr>
          <w:p w:rsidR="00D120E6" w:rsidRDefault="00D120E6">
            <w:pPr>
              <w:jc w:val="left"/>
              <w:rPr>
                <w:rFonts w:ascii="Calibri" w:eastAsia="Calibri" w:hAnsi="Calibri"/>
                <w:sz w:val="20"/>
                <w:szCs w:val="20"/>
                <w:lang w:val="ru-RU"/>
              </w:rPr>
            </w:pPr>
          </w:p>
        </w:tc>
        <w:tc>
          <w:tcPr>
            <w:tcW w:w="242"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1000" w:type="dxa"/>
            <w:noWrap/>
            <w:vAlign w:val="bottom"/>
            <w:hideMark/>
          </w:tcPr>
          <w:p w:rsidR="00D120E6" w:rsidRDefault="00D120E6">
            <w:pPr>
              <w:jc w:val="left"/>
              <w:rPr>
                <w:rFonts w:ascii="Calibri" w:eastAsia="Calibri" w:hAnsi="Calibri"/>
                <w:sz w:val="20"/>
                <w:szCs w:val="20"/>
                <w:lang w:val="ru-RU"/>
              </w:rPr>
            </w:pP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15915" w:type="dxa"/>
        <w:tblInd w:w="108" w:type="dxa"/>
        <w:tblLayout w:type="fixed"/>
        <w:tblLook w:val="04A0" w:firstRow="1" w:lastRow="0" w:firstColumn="1" w:lastColumn="0" w:noHBand="0" w:noVBand="1"/>
      </w:tblPr>
      <w:tblGrid>
        <w:gridCol w:w="2128"/>
        <w:gridCol w:w="852"/>
        <w:gridCol w:w="856"/>
        <w:gridCol w:w="516"/>
        <w:gridCol w:w="907"/>
        <w:gridCol w:w="855"/>
        <w:gridCol w:w="516"/>
        <w:gridCol w:w="789"/>
        <w:gridCol w:w="709"/>
        <w:gridCol w:w="869"/>
        <w:gridCol w:w="596"/>
        <w:gridCol w:w="815"/>
        <w:gridCol w:w="516"/>
        <w:gridCol w:w="408"/>
        <w:gridCol w:w="408"/>
        <w:gridCol w:w="1063"/>
        <w:gridCol w:w="821"/>
        <w:gridCol w:w="518"/>
        <w:gridCol w:w="1773"/>
      </w:tblGrid>
      <w:tr w:rsidR="00D120E6" w:rsidTr="004A7C6F">
        <w:trPr>
          <w:gridAfter w:val="5"/>
          <w:wAfter w:w="4583" w:type="dxa"/>
          <w:trHeight w:val="570"/>
        </w:trPr>
        <w:tc>
          <w:tcPr>
            <w:tcW w:w="11332" w:type="dxa"/>
            <w:gridSpan w:val="14"/>
            <w:hideMark/>
          </w:tcPr>
          <w:p w:rsidR="00D120E6" w:rsidRDefault="00D120E6">
            <w:pPr>
              <w:rPr>
                <w:sz w:val="20"/>
                <w:szCs w:val="20"/>
                <w:lang w:eastAsia="uk-UA"/>
              </w:rPr>
            </w:pPr>
            <w:r>
              <w:rPr>
                <w:sz w:val="20"/>
                <w:szCs w:val="20"/>
                <w:lang w:eastAsia="uk-UA"/>
              </w:rPr>
              <w:t>В Таблиці нижче наведена детальна інформація щодо руху та складових статті Балансу (Звіту про фінансовий стан) «Основні засоби» (рядки 1010-1012)</w:t>
            </w:r>
          </w:p>
        </w:tc>
      </w:tr>
      <w:tr w:rsidR="00D120E6" w:rsidTr="004A7C6F">
        <w:trPr>
          <w:trHeight w:val="240"/>
        </w:trPr>
        <w:tc>
          <w:tcPr>
            <w:tcW w:w="15915" w:type="dxa"/>
            <w:gridSpan w:val="19"/>
            <w:tcBorders>
              <w:top w:val="nil"/>
              <w:left w:val="nil"/>
              <w:bottom w:val="single" w:sz="4" w:space="0" w:color="auto"/>
              <w:right w:val="nil"/>
            </w:tcBorders>
            <w:hideMark/>
          </w:tcPr>
          <w:p w:rsidR="00D120E6" w:rsidRDefault="00D120E6">
            <w:pPr>
              <w:jc w:val="center"/>
              <w:rPr>
                <w:b/>
                <w:bCs/>
                <w:sz w:val="20"/>
                <w:szCs w:val="20"/>
                <w:lang w:eastAsia="uk-UA"/>
              </w:rPr>
            </w:pPr>
            <w:r>
              <w:rPr>
                <w:b/>
                <w:bCs/>
                <w:sz w:val="20"/>
                <w:szCs w:val="20"/>
                <w:lang w:eastAsia="uk-UA"/>
              </w:rPr>
              <w:lastRenderedPageBreak/>
              <w:t>II. Основні засоби</w:t>
            </w:r>
            <w:r>
              <w:rPr>
                <w:b/>
                <w:bCs/>
                <w:sz w:val="18"/>
                <w:szCs w:val="18"/>
                <w:lang w:eastAsia="uk-UA"/>
              </w:rPr>
              <w:t xml:space="preserve"> </w:t>
            </w:r>
          </w:p>
        </w:tc>
      </w:tr>
      <w:tr w:rsidR="00D120E6" w:rsidTr="004A7C6F">
        <w:trPr>
          <w:trHeight w:val="630"/>
        </w:trPr>
        <w:tc>
          <w:tcPr>
            <w:tcW w:w="212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Групи основних засобів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строки експлуатації (років)</w:t>
            </w:r>
          </w:p>
        </w:tc>
        <w:tc>
          <w:tcPr>
            <w:tcW w:w="1372" w:type="dxa"/>
            <w:gridSpan w:val="2"/>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Залишок на початок року</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Надійшло за рік</w:t>
            </w:r>
          </w:p>
        </w:tc>
        <w:tc>
          <w:tcPr>
            <w:tcW w:w="1371" w:type="dxa"/>
            <w:gridSpan w:val="2"/>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Вибуло за рік</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Нараховано амортизації за рік</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Втрати від зменшення корисності</w:t>
            </w:r>
          </w:p>
        </w:tc>
        <w:tc>
          <w:tcPr>
            <w:tcW w:w="1465" w:type="dxa"/>
            <w:gridSpan w:val="2"/>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Інші зміни за рік</w:t>
            </w:r>
          </w:p>
        </w:tc>
        <w:tc>
          <w:tcPr>
            <w:tcW w:w="1331" w:type="dxa"/>
            <w:gridSpan w:val="2"/>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Залишок на кінець року</w:t>
            </w:r>
          </w:p>
        </w:tc>
        <w:tc>
          <w:tcPr>
            <w:tcW w:w="3218" w:type="dxa"/>
            <w:gridSpan w:val="5"/>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у тому числі</w:t>
            </w:r>
          </w:p>
        </w:tc>
        <w:tc>
          <w:tcPr>
            <w:tcW w:w="1773" w:type="dxa"/>
            <w:vMerge w:val="restart"/>
            <w:tcBorders>
              <w:top w:val="nil"/>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 xml:space="preserve">ліквідаційна вартість </w:t>
            </w:r>
          </w:p>
        </w:tc>
      </w:tr>
      <w:tr w:rsidR="00D120E6" w:rsidTr="004A7C6F">
        <w:trPr>
          <w:trHeight w:val="645"/>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5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первісна (</w:t>
            </w:r>
            <w:proofErr w:type="spellStart"/>
            <w:r>
              <w:rPr>
                <w:sz w:val="16"/>
                <w:szCs w:val="16"/>
                <w:lang w:eastAsia="uk-UA"/>
              </w:rPr>
              <w:t>переоці</w:t>
            </w:r>
            <w:proofErr w:type="spellEnd"/>
            <w:r>
              <w:rPr>
                <w:sz w:val="16"/>
                <w:szCs w:val="16"/>
                <w:lang w:eastAsia="uk-UA"/>
              </w:rPr>
              <w:t>-</w:t>
            </w:r>
            <w:r>
              <w:rPr>
                <w:sz w:val="16"/>
                <w:szCs w:val="16"/>
                <w:lang w:eastAsia="uk-UA"/>
              </w:rPr>
              <w:br/>
            </w:r>
            <w:proofErr w:type="spellStart"/>
            <w:r>
              <w:rPr>
                <w:sz w:val="16"/>
                <w:szCs w:val="16"/>
                <w:lang w:eastAsia="uk-UA"/>
              </w:rPr>
              <w:t>нена</w:t>
            </w:r>
            <w:proofErr w:type="spellEnd"/>
            <w:r>
              <w:rPr>
                <w:sz w:val="16"/>
                <w:szCs w:val="16"/>
                <w:lang w:eastAsia="uk-UA"/>
              </w:rPr>
              <w:t>) вартість</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знос</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5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первісна (</w:t>
            </w:r>
            <w:proofErr w:type="spellStart"/>
            <w:r>
              <w:rPr>
                <w:sz w:val="16"/>
                <w:szCs w:val="16"/>
                <w:lang w:eastAsia="uk-UA"/>
              </w:rPr>
              <w:t>переоці</w:t>
            </w:r>
            <w:proofErr w:type="spellEnd"/>
            <w:r>
              <w:rPr>
                <w:sz w:val="16"/>
                <w:szCs w:val="16"/>
                <w:lang w:eastAsia="uk-UA"/>
              </w:rPr>
              <w:t>-</w:t>
            </w:r>
            <w:r>
              <w:rPr>
                <w:sz w:val="16"/>
                <w:szCs w:val="16"/>
                <w:lang w:eastAsia="uk-UA"/>
              </w:rPr>
              <w:br/>
            </w:r>
            <w:proofErr w:type="spellStart"/>
            <w:r>
              <w:rPr>
                <w:sz w:val="16"/>
                <w:szCs w:val="16"/>
                <w:lang w:eastAsia="uk-UA"/>
              </w:rPr>
              <w:t>нена</w:t>
            </w:r>
            <w:proofErr w:type="spellEnd"/>
            <w:r>
              <w:rPr>
                <w:sz w:val="16"/>
                <w:szCs w:val="16"/>
                <w:lang w:eastAsia="uk-UA"/>
              </w:rPr>
              <w:t>) вартість</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знос</w:t>
            </w:r>
          </w:p>
        </w:tc>
        <w:tc>
          <w:tcPr>
            <w:tcW w:w="789"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69"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первісної  вартості</w:t>
            </w:r>
          </w:p>
        </w:tc>
        <w:tc>
          <w:tcPr>
            <w:tcW w:w="59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зносу</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первісна вартість</w:t>
            </w:r>
          </w:p>
        </w:tc>
        <w:tc>
          <w:tcPr>
            <w:tcW w:w="516" w:type="dxa"/>
            <w:vMerge w:val="restart"/>
            <w:tcBorders>
              <w:top w:val="nil"/>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знос</w:t>
            </w:r>
          </w:p>
        </w:tc>
        <w:tc>
          <w:tcPr>
            <w:tcW w:w="1879" w:type="dxa"/>
            <w:gridSpan w:val="3"/>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одержані за фінансовою орендою</w:t>
            </w:r>
          </w:p>
        </w:tc>
        <w:tc>
          <w:tcPr>
            <w:tcW w:w="1339" w:type="dxa"/>
            <w:gridSpan w:val="2"/>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Передані у операційну оренду</w:t>
            </w:r>
          </w:p>
        </w:tc>
        <w:tc>
          <w:tcPr>
            <w:tcW w:w="1773" w:type="dxa"/>
            <w:vMerge/>
            <w:tcBorders>
              <w:top w:val="nil"/>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r>
      <w:tr w:rsidR="00D120E6" w:rsidTr="004A7C6F">
        <w:trPr>
          <w:trHeight w:val="870"/>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789"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516" w:type="dxa"/>
            <w:vMerge/>
            <w:tcBorders>
              <w:top w:val="nil"/>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16" w:type="dxa"/>
            <w:gridSpan w:val="2"/>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первісна вартість</w:t>
            </w:r>
          </w:p>
        </w:tc>
        <w:tc>
          <w:tcPr>
            <w:tcW w:w="1063" w:type="dxa"/>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знос</w:t>
            </w:r>
          </w:p>
        </w:tc>
        <w:tc>
          <w:tcPr>
            <w:tcW w:w="821" w:type="dxa"/>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первісна вартість</w:t>
            </w:r>
          </w:p>
        </w:tc>
        <w:tc>
          <w:tcPr>
            <w:tcW w:w="518" w:type="dxa"/>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знос</w:t>
            </w:r>
          </w:p>
        </w:tc>
        <w:tc>
          <w:tcPr>
            <w:tcW w:w="1773" w:type="dxa"/>
            <w:vMerge/>
            <w:tcBorders>
              <w:top w:val="nil"/>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r>
      <w:tr w:rsidR="00D120E6" w:rsidTr="004A7C6F">
        <w:trPr>
          <w:trHeight w:val="240"/>
        </w:trPr>
        <w:tc>
          <w:tcPr>
            <w:tcW w:w="2128" w:type="dxa"/>
            <w:tcBorders>
              <w:top w:val="single" w:sz="4" w:space="0" w:color="auto"/>
              <w:left w:val="single" w:sz="4" w:space="0" w:color="auto"/>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w:t>
            </w:r>
          </w:p>
        </w:tc>
        <w:tc>
          <w:tcPr>
            <w:tcW w:w="852"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2</w:t>
            </w:r>
          </w:p>
        </w:tc>
        <w:tc>
          <w:tcPr>
            <w:tcW w:w="856"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3</w:t>
            </w:r>
          </w:p>
        </w:tc>
        <w:tc>
          <w:tcPr>
            <w:tcW w:w="516"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4</w:t>
            </w:r>
          </w:p>
        </w:tc>
        <w:tc>
          <w:tcPr>
            <w:tcW w:w="907"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5</w:t>
            </w:r>
          </w:p>
        </w:tc>
        <w:tc>
          <w:tcPr>
            <w:tcW w:w="855"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6</w:t>
            </w:r>
          </w:p>
        </w:tc>
        <w:tc>
          <w:tcPr>
            <w:tcW w:w="516" w:type="dxa"/>
            <w:tcBorders>
              <w:top w:val="single" w:sz="4" w:space="0" w:color="auto"/>
              <w:left w:val="nil"/>
              <w:bottom w:val="single" w:sz="4" w:space="0" w:color="auto"/>
              <w:right w:val="single" w:sz="4" w:space="0" w:color="000000"/>
            </w:tcBorders>
            <w:vAlign w:val="bottom"/>
            <w:hideMark/>
          </w:tcPr>
          <w:p w:rsidR="00D120E6" w:rsidRDefault="00D120E6">
            <w:pPr>
              <w:jc w:val="center"/>
              <w:rPr>
                <w:sz w:val="18"/>
                <w:szCs w:val="18"/>
                <w:lang w:eastAsia="uk-UA"/>
              </w:rPr>
            </w:pPr>
            <w:r>
              <w:rPr>
                <w:sz w:val="18"/>
                <w:szCs w:val="18"/>
                <w:lang w:eastAsia="uk-UA"/>
              </w:rPr>
              <w:t>7</w:t>
            </w:r>
          </w:p>
        </w:tc>
        <w:tc>
          <w:tcPr>
            <w:tcW w:w="789"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8</w:t>
            </w:r>
          </w:p>
        </w:tc>
        <w:tc>
          <w:tcPr>
            <w:tcW w:w="709"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9</w:t>
            </w:r>
          </w:p>
        </w:tc>
        <w:tc>
          <w:tcPr>
            <w:tcW w:w="869"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10</w:t>
            </w:r>
          </w:p>
        </w:tc>
        <w:tc>
          <w:tcPr>
            <w:tcW w:w="596"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11</w:t>
            </w:r>
          </w:p>
        </w:tc>
        <w:tc>
          <w:tcPr>
            <w:tcW w:w="815"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12</w:t>
            </w:r>
          </w:p>
        </w:tc>
        <w:tc>
          <w:tcPr>
            <w:tcW w:w="516" w:type="dxa"/>
            <w:tcBorders>
              <w:top w:val="nil"/>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13</w:t>
            </w:r>
          </w:p>
        </w:tc>
        <w:tc>
          <w:tcPr>
            <w:tcW w:w="816" w:type="dxa"/>
            <w:gridSpan w:val="2"/>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14</w:t>
            </w:r>
          </w:p>
        </w:tc>
        <w:tc>
          <w:tcPr>
            <w:tcW w:w="1063"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15</w:t>
            </w:r>
          </w:p>
        </w:tc>
        <w:tc>
          <w:tcPr>
            <w:tcW w:w="821"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16</w:t>
            </w:r>
          </w:p>
        </w:tc>
        <w:tc>
          <w:tcPr>
            <w:tcW w:w="518"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17</w:t>
            </w:r>
          </w:p>
        </w:tc>
        <w:tc>
          <w:tcPr>
            <w:tcW w:w="1773" w:type="dxa"/>
            <w:tcBorders>
              <w:top w:val="nil"/>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18</w:t>
            </w:r>
          </w:p>
        </w:tc>
      </w:tr>
      <w:tr w:rsidR="00D120E6" w:rsidTr="004A7C6F">
        <w:trPr>
          <w:trHeight w:val="240"/>
        </w:trPr>
        <w:tc>
          <w:tcPr>
            <w:tcW w:w="2128" w:type="dxa"/>
            <w:tcBorders>
              <w:top w:val="single" w:sz="4" w:space="0" w:color="auto"/>
              <w:left w:val="single" w:sz="4" w:space="0" w:color="auto"/>
              <w:bottom w:val="single" w:sz="4" w:space="0" w:color="auto"/>
              <w:right w:val="single" w:sz="4" w:space="0" w:color="auto"/>
            </w:tcBorders>
            <w:vAlign w:val="bottom"/>
            <w:hideMark/>
          </w:tcPr>
          <w:p w:rsidR="00D120E6" w:rsidRDefault="00D120E6">
            <w:pPr>
              <w:rPr>
                <w:sz w:val="18"/>
                <w:szCs w:val="18"/>
                <w:lang w:eastAsia="uk-UA"/>
              </w:rPr>
            </w:pPr>
            <w:r>
              <w:rPr>
                <w:sz w:val="18"/>
                <w:szCs w:val="18"/>
                <w:lang w:eastAsia="uk-UA"/>
              </w:rPr>
              <w:t>Земельні ділянки</w:t>
            </w:r>
          </w:p>
        </w:tc>
        <w:tc>
          <w:tcPr>
            <w:tcW w:w="852"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lang w:eastAsia="uk-UA"/>
              </w:rPr>
            </w:pPr>
            <w:r>
              <w:rPr>
                <w:sz w:val="18"/>
                <w:szCs w:val="18"/>
                <w:lang w:eastAsia="uk-UA"/>
              </w:rPr>
              <w:t> </w:t>
            </w:r>
          </w:p>
        </w:tc>
        <w:tc>
          <w:tcPr>
            <w:tcW w:w="856"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516" w:type="dxa"/>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907" w:type="dxa"/>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55"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516"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789"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709"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69"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596"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15"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516" w:type="dxa"/>
            <w:tcBorders>
              <w:top w:val="nil"/>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16" w:type="dxa"/>
            <w:gridSpan w:val="2"/>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1063"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1773" w:type="dxa"/>
            <w:tcBorders>
              <w:top w:val="nil"/>
              <w:left w:val="nil"/>
              <w:bottom w:val="single" w:sz="4" w:space="0" w:color="auto"/>
              <w:right w:val="single" w:sz="4" w:space="0" w:color="auto"/>
            </w:tcBorders>
            <w:vAlign w:val="center"/>
            <w:hideMark/>
          </w:tcPr>
          <w:p w:rsidR="00D120E6" w:rsidRDefault="00D120E6">
            <w:pPr>
              <w:jc w:val="center"/>
              <w:rPr>
                <w:sz w:val="18"/>
                <w:szCs w:val="18"/>
                <w:lang w:eastAsia="uk-UA"/>
              </w:rPr>
            </w:pPr>
            <w:r>
              <w:rPr>
                <w:sz w:val="18"/>
                <w:szCs w:val="18"/>
                <w:lang w:eastAsia="uk-UA"/>
              </w:rPr>
              <w:t> </w:t>
            </w:r>
          </w:p>
        </w:tc>
      </w:tr>
      <w:tr w:rsidR="00D120E6" w:rsidTr="004A7C6F">
        <w:trPr>
          <w:trHeight w:val="240"/>
        </w:trPr>
        <w:tc>
          <w:tcPr>
            <w:tcW w:w="2128" w:type="dxa"/>
            <w:tcBorders>
              <w:top w:val="single" w:sz="4" w:space="0" w:color="auto"/>
              <w:left w:val="single" w:sz="4" w:space="0" w:color="auto"/>
              <w:bottom w:val="single" w:sz="4" w:space="0" w:color="auto"/>
              <w:right w:val="single" w:sz="4" w:space="0" w:color="000000"/>
            </w:tcBorders>
            <w:vAlign w:val="bottom"/>
            <w:hideMark/>
          </w:tcPr>
          <w:p w:rsidR="00D120E6" w:rsidRDefault="00D120E6">
            <w:pPr>
              <w:rPr>
                <w:sz w:val="18"/>
                <w:szCs w:val="18"/>
                <w:lang w:eastAsia="uk-UA"/>
              </w:rPr>
            </w:pPr>
            <w:r>
              <w:rPr>
                <w:sz w:val="18"/>
                <w:szCs w:val="18"/>
                <w:lang w:eastAsia="uk-UA"/>
              </w:rPr>
              <w:t>Інвестиційна нерухомість</w:t>
            </w:r>
          </w:p>
        </w:tc>
        <w:tc>
          <w:tcPr>
            <w:tcW w:w="852" w:type="dxa"/>
            <w:tcBorders>
              <w:top w:val="single" w:sz="4" w:space="0" w:color="auto"/>
              <w:left w:val="nil"/>
              <w:bottom w:val="single" w:sz="4" w:space="0" w:color="auto"/>
              <w:right w:val="single" w:sz="4" w:space="0" w:color="000000"/>
            </w:tcBorders>
            <w:vAlign w:val="center"/>
            <w:hideMark/>
          </w:tcPr>
          <w:p w:rsidR="00D120E6" w:rsidRDefault="00D120E6">
            <w:pPr>
              <w:jc w:val="center"/>
              <w:rPr>
                <w:sz w:val="18"/>
                <w:szCs w:val="18"/>
                <w:lang w:eastAsia="uk-UA"/>
              </w:rPr>
            </w:pPr>
            <w:r>
              <w:rPr>
                <w:sz w:val="18"/>
                <w:szCs w:val="18"/>
                <w:lang w:eastAsia="uk-UA"/>
              </w:rPr>
              <w:t> </w:t>
            </w:r>
          </w:p>
        </w:tc>
        <w:tc>
          <w:tcPr>
            <w:tcW w:w="856" w:type="dxa"/>
            <w:tcBorders>
              <w:top w:val="single" w:sz="4" w:space="0" w:color="auto"/>
              <w:left w:val="nil"/>
              <w:bottom w:val="single" w:sz="4" w:space="0" w:color="auto"/>
              <w:right w:val="nil"/>
            </w:tcBorders>
            <w:vAlign w:val="center"/>
            <w:hideMark/>
          </w:tcPr>
          <w:p w:rsidR="00D120E6" w:rsidRDefault="00D120E6">
            <w:pPr>
              <w:jc w:val="center"/>
              <w:rPr>
                <w:b/>
                <w:bCs/>
                <w:sz w:val="18"/>
                <w:szCs w:val="18"/>
                <w:lang w:eastAsia="uk-UA"/>
              </w:rPr>
            </w:pPr>
            <w:r>
              <w:rPr>
                <w:b/>
                <w:bCs/>
                <w:sz w:val="18"/>
                <w:szCs w:val="18"/>
                <w:lang w:eastAsia="uk-UA"/>
              </w:rPr>
              <w:t> </w:t>
            </w:r>
          </w:p>
        </w:tc>
        <w:tc>
          <w:tcPr>
            <w:tcW w:w="516" w:type="dxa"/>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907"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855"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516"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789" w:type="dxa"/>
            <w:tcBorders>
              <w:top w:val="single" w:sz="4" w:space="0" w:color="auto"/>
              <w:left w:val="nil"/>
              <w:bottom w:val="single" w:sz="4" w:space="0" w:color="auto"/>
              <w:right w:val="nil"/>
            </w:tcBorders>
            <w:vAlign w:val="center"/>
            <w:hideMark/>
          </w:tcPr>
          <w:p w:rsidR="00D120E6" w:rsidRDefault="00D120E6">
            <w:pPr>
              <w:jc w:val="center"/>
              <w:rPr>
                <w:b/>
                <w:bCs/>
                <w:sz w:val="18"/>
                <w:szCs w:val="18"/>
                <w:lang w:eastAsia="uk-UA"/>
              </w:rPr>
            </w:pPr>
            <w:r>
              <w:rPr>
                <w:b/>
                <w:bCs/>
                <w:sz w:val="18"/>
                <w:szCs w:val="18"/>
                <w:lang w:eastAsia="uk-UA"/>
              </w:rPr>
              <w:t> </w:t>
            </w:r>
          </w:p>
        </w:tc>
        <w:tc>
          <w:tcPr>
            <w:tcW w:w="709" w:type="dxa"/>
            <w:tcBorders>
              <w:top w:val="single" w:sz="4" w:space="0" w:color="auto"/>
              <w:left w:val="single" w:sz="4" w:space="0" w:color="auto"/>
              <w:bottom w:val="single" w:sz="4" w:space="0" w:color="auto"/>
              <w:right w:val="nil"/>
            </w:tcBorders>
            <w:vAlign w:val="center"/>
            <w:hideMark/>
          </w:tcPr>
          <w:p w:rsidR="00D120E6" w:rsidRDefault="00D120E6">
            <w:pPr>
              <w:jc w:val="center"/>
              <w:rPr>
                <w:b/>
                <w:bCs/>
                <w:sz w:val="18"/>
                <w:szCs w:val="18"/>
                <w:lang w:eastAsia="uk-UA"/>
              </w:rPr>
            </w:pPr>
            <w:r>
              <w:rPr>
                <w:b/>
                <w:bCs/>
                <w:sz w:val="18"/>
                <w:szCs w:val="18"/>
                <w:lang w:eastAsia="uk-UA"/>
              </w:rPr>
              <w:t> </w:t>
            </w:r>
          </w:p>
        </w:tc>
        <w:tc>
          <w:tcPr>
            <w:tcW w:w="869" w:type="dxa"/>
            <w:tcBorders>
              <w:top w:val="single" w:sz="4" w:space="0" w:color="auto"/>
              <w:left w:val="single" w:sz="4" w:space="0" w:color="auto"/>
              <w:bottom w:val="single" w:sz="4" w:space="0" w:color="auto"/>
              <w:right w:val="nil"/>
            </w:tcBorders>
            <w:vAlign w:val="center"/>
            <w:hideMark/>
          </w:tcPr>
          <w:p w:rsidR="00D120E6" w:rsidRDefault="00D120E6">
            <w:pPr>
              <w:jc w:val="center"/>
              <w:rPr>
                <w:b/>
                <w:bCs/>
                <w:sz w:val="18"/>
                <w:szCs w:val="18"/>
                <w:lang w:eastAsia="uk-UA"/>
              </w:rPr>
            </w:pPr>
            <w:r>
              <w:rPr>
                <w:b/>
                <w:bCs/>
                <w:sz w:val="18"/>
                <w:szCs w:val="18"/>
                <w:lang w:eastAsia="uk-UA"/>
              </w:rPr>
              <w:t> </w:t>
            </w:r>
          </w:p>
        </w:tc>
        <w:tc>
          <w:tcPr>
            <w:tcW w:w="596"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815"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516" w:type="dxa"/>
            <w:tcBorders>
              <w:top w:val="nil"/>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16" w:type="dxa"/>
            <w:gridSpan w:val="2"/>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1063" w:type="dxa"/>
            <w:tcBorders>
              <w:top w:val="single" w:sz="4" w:space="0" w:color="auto"/>
              <w:left w:val="nil"/>
              <w:bottom w:val="single" w:sz="4" w:space="0" w:color="auto"/>
              <w:right w:val="nil"/>
            </w:tcBorders>
            <w:vAlign w:val="center"/>
            <w:hideMark/>
          </w:tcPr>
          <w:p w:rsidR="00D120E6" w:rsidRDefault="00D120E6">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1773" w:type="dxa"/>
            <w:tcBorders>
              <w:top w:val="nil"/>
              <w:left w:val="nil"/>
              <w:bottom w:val="single" w:sz="4" w:space="0" w:color="auto"/>
              <w:right w:val="single" w:sz="4" w:space="0" w:color="auto"/>
            </w:tcBorders>
            <w:vAlign w:val="center"/>
            <w:hideMark/>
          </w:tcPr>
          <w:p w:rsidR="00D120E6" w:rsidRDefault="00D120E6">
            <w:pPr>
              <w:jc w:val="center"/>
              <w:rPr>
                <w:sz w:val="18"/>
                <w:szCs w:val="18"/>
                <w:lang w:eastAsia="uk-UA"/>
              </w:rPr>
            </w:pPr>
            <w:r>
              <w:rPr>
                <w:sz w:val="18"/>
                <w:szCs w:val="18"/>
                <w:lang w:eastAsia="uk-UA"/>
              </w:rPr>
              <w:t> </w:t>
            </w:r>
          </w:p>
        </w:tc>
      </w:tr>
      <w:tr w:rsidR="00D120E6" w:rsidTr="004A7C6F">
        <w:trPr>
          <w:trHeight w:val="617"/>
        </w:trPr>
        <w:tc>
          <w:tcPr>
            <w:tcW w:w="2128" w:type="dxa"/>
            <w:tcBorders>
              <w:top w:val="single" w:sz="4" w:space="0" w:color="auto"/>
              <w:left w:val="single" w:sz="4" w:space="0" w:color="auto"/>
              <w:bottom w:val="single" w:sz="4" w:space="0" w:color="auto"/>
              <w:right w:val="single" w:sz="4" w:space="0" w:color="auto"/>
            </w:tcBorders>
            <w:vAlign w:val="bottom"/>
            <w:hideMark/>
          </w:tcPr>
          <w:p w:rsidR="00D120E6" w:rsidRDefault="00D120E6">
            <w:pPr>
              <w:rPr>
                <w:i/>
                <w:iCs/>
                <w:sz w:val="18"/>
                <w:szCs w:val="18"/>
                <w:lang w:eastAsia="uk-UA"/>
              </w:rPr>
            </w:pPr>
            <w:r>
              <w:rPr>
                <w:i/>
                <w:iCs/>
                <w:sz w:val="18"/>
                <w:szCs w:val="18"/>
                <w:lang w:eastAsia="uk-UA"/>
              </w:rPr>
              <w:t>Будинки, споруди та передавальні пристрої</w:t>
            </w:r>
          </w:p>
        </w:tc>
        <w:tc>
          <w:tcPr>
            <w:tcW w:w="852"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lang w:eastAsia="uk-UA"/>
              </w:rPr>
            </w:pPr>
          </w:p>
        </w:tc>
        <w:tc>
          <w:tcPr>
            <w:tcW w:w="856" w:type="dxa"/>
            <w:tcBorders>
              <w:top w:val="single" w:sz="4" w:space="0" w:color="auto"/>
              <w:left w:val="nil"/>
              <w:bottom w:val="single" w:sz="4" w:space="0" w:color="auto"/>
              <w:right w:val="nil"/>
            </w:tcBorders>
            <w:vAlign w:val="center"/>
          </w:tcPr>
          <w:p w:rsidR="00D120E6" w:rsidRDefault="00D120E6">
            <w:pPr>
              <w:jc w:val="center"/>
              <w:rPr>
                <w:b/>
                <w:bCs/>
                <w:sz w:val="18"/>
                <w:szCs w:val="18"/>
                <w:lang w:eastAsia="uk-UA"/>
              </w:rPr>
            </w:pPr>
          </w:p>
        </w:tc>
        <w:tc>
          <w:tcPr>
            <w:tcW w:w="516" w:type="dxa"/>
            <w:tcBorders>
              <w:top w:val="single" w:sz="4" w:space="0" w:color="auto"/>
              <w:left w:val="single" w:sz="4" w:space="0" w:color="auto"/>
              <w:bottom w:val="single" w:sz="4" w:space="0" w:color="auto"/>
              <w:right w:val="single" w:sz="4" w:space="0" w:color="auto"/>
            </w:tcBorders>
            <w:vAlign w:val="center"/>
          </w:tcPr>
          <w:p w:rsidR="00D120E6" w:rsidRDefault="00D120E6">
            <w:pPr>
              <w:jc w:val="center"/>
              <w:rPr>
                <w:b/>
                <w:bCs/>
                <w:sz w:val="18"/>
                <w:szCs w:val="18"/>
                <w:lang w:eastAsia="uk-UA"/>
              </w:rPr>
            </w:pPr>
          </w:p>
        </w:tc>
        <w:tc>
          <w:tcPr>
            <w:tcW w:w="907" w:type="dxa"/>
            <w:tcBorders>
              <w:top w:val="single" w:sz="4" w:space="0" w:color="auto"/>
              <w:left w:val="single" w:sz="4" w:space="0" w:color="auto"/>
              <w:bottom w:val="single" w:sz="4" w:space="0" w:color="auto"/>
              <w:right w:val="single" w:sz="4" w:space="0" w:color="auto"/>
            </w:tcBorders>
            <w:vAlign w:val="center"/>
          </w:tcPr>
          <w:p w:rsidR="00D120E6" w:rsidRDefault="00D120E6">
            <w:pPr>
              <w:jc w:val="center"/>
              <w:rPr>
                <w:b/>
                <w:bCs/>
                <w:sz w:val="18"/>
                <w:szCs w:val="18"/>
                <w:lang w:eastAsia="uk-UA"/>
              </w:rPr>
            </w:pPr>
          </w:p>
        </w:tc>
        <w:tc>
          <w:tcPr>
            <w:tcW w:w="855"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516" w:type="dxa"/>
            <w:tcBorders>
              <w:top w:val="single" w:sz="4" w:space="0" w:color="auto"/>
              <w:left w:val="nil"/>
              <w:bottom w:val="single" w:sz="4" w:space="0" w:color="auto"/>
              <w:right w:val="single" w:sz="4" w:space="0" w:color="000000"/>
            </w:tcBorders>
            <w:vAlign w:val="center"/>
          </w:tcPr>
          <w:p w:rsidR="00D120E6" w:rsidRDefault="00D120E6">
            <w:pPr>
              <w:jc w:val="center"/>
              <w:rPr>
                <w:b/>
                <w:bCs/>
                <w:sz w:val="18"/>
                <w:szCs w:val="18"/>
                <w:lang w:eastAsia="uk-UA"/>
              </w:rPr>
            </w:pPr>
          </w:p>
        </w:tc>
        <w:tc>
          <w:tcPr>
            <w:tcW w:w="789"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709"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869"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596"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815"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516" w:type="dxa"/>
            <w:tcBorders>
              <w:top w:val="nil"/>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816" w:type="dxa"/>
            <w:gridSpan w:val="2"/>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1063"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1773" w:type="dxa"/>
            <w:tcBorders>
              <w:top w:val="nil"/>
              <w:left w:val="nil"/>
              <w:bottom w:val="single" w:sz="4" w:space="0" w:color="auto"/>
              <w:right w:val="single" w:sz="4" w:space="0" w:color="auto"/>
            </w:tcBorders>
            <w:vAlign w:val="center"/>
            <w:hideMark/>
          </w:tcPr>
          <w:p w:rsidR="00D120E6" w:rsidRDefault="00D120E6">
            <w:pPr>
              <w:jc w:val="center"/>
              <w:rPr>
                <w:sz w:val="18"/>
                <w:szCs w:val="18"/>
                <w:lang w:eastAsia="uk-UA"/>
              </w:rPr>
            </w:pPr>
          </w:p>
        </w:tc>
      </w:tr>
      <w:tr w:rsidR="004A7C6F" w:rsidTr="004A7C6F">
        <w:trPr>
          <w:trHeight w:val="240"/>
        </w:trPr>
        <w:tc>
          <w:tcPr>
            <w:tcW w:w="2128" w:type="dxa"/>
            <w:tcBorders>
              <w:top w:val="single" w:sz="4" w:space="0" w:color="auto"/>
              <w:left w:val="single" w:sz="4" w:space="0" w:color="auto"/>
              <w:bottom w:val="single" w:sz="4" w:space="0" w:color="auto"/>
              <w:right w:val="single" w:sz="4" w:space="0" w:color="auto"/>
            </w:tcBorders>
            <w:vAlign w:val="bottom"/>
            <w:hideMark/>
          </w:tcPr>
          <w:p w:rsidR="004A7C6F" w:rsidRDefault="004A7C6F">
            <w:pPr>
              <w:rPr>
                <w:i/>
                <w:iCs/>
                <w:sz w:val="18"/>
                <w:szCs w:val="18"/>
                <w:lang w:eastAsia="uk-UA"/>
              </w:rPr>
            </w:pPr>
            <w:r>
              <w:rPr>
                <w:i/>
                <w:iCs/>
                <w:sz w:val="18"/>
                <w:szCs w:val="18"/>
                <w:lang w:eastAsia="uk-UA"/>
              </w:rPr>
              <w:t>Машини та обладнання</w:t>
            </w:r>
          </w:p>
        </w:tc>
        <w:tc>
          <w:tcPr>
            <w:tcW w:w="852" w:type="dxa"/>
            <w:tcBorders>
              <w:top w:val="single" w:sz="4" w:space="0" w:color="auto"/>
              <w:left w:val="nil"/>
              <w:bottom w:val="single" w:sz="4" w:space="0" w:color="auto"/>
              <w:right w:val="single" w:sz="4" w:space="0" w:color="auto"/>
            </w:tcBorders>
            <w:vAlign w:val="center"/>
            <w:hideMark/>
          </w:tcPr>
          <w:p w:rsidR="004A7C6F" w:rsidRDefault="004A7C6F">
            <w:pPr>
              <w:jc w:val="center"/>
              <w:rPr>
                <w:sz w:val="18"/>
                <w:szCs w:val="18"/>
                <w:lang w:eastAsia="uk-UA"/>
              </w:rPr>
            </w:pPr>
            <w:r>
              <w:rPr>
                <w:sz w:val="18"/>
                <w:szCs w:val="18"/>
                <w:lang w:eastAsia="uk-UA"/>
              </w:rPr>
              <w:t xml:space="preserve"> 5-10</w:t>
            </w:r>
          </w:p>
        </w:tc>
        <w:tc>
          <w:tcPr>
            <w:tcW w:w="856" w:type="dxa"/>
            <w:tcBorders>
              <w:top w:val="single" w:sz="4" w:space="0" w:color="auto"/>
              <w:left w:val="nil"/>
              <w:bottom w:val="single" w:sz="4" w:space="0" w:color="auto"/>
              <w:right w:val="nil"/>
            </w:tcBorders>
            <w:vAlign w:val="center"/>
          </w:tcPr>
          <w:p w:rsidR="004A7C6F" w:rsidRDefault="004A7C6F" w:rsidP="009A1975">
            <w:pPr>
              <w:jc w:val="center"/>
              <w:rPr>
                <w:b/>
                <w:bCs/>
                <w:sz w:val="18"/>
                <w:szCs w:val="18"/>
                <w:lang w:eastAsia="uk-UA"/>
              </w:rPr>
            </w:pPr>
            <w:r>
              <w:rPr>
                <w:b/>
                <w:bCs/>
                <w:sz w:val="18"/>
                <w:szCs w:val="18"/>
                <w:lang w:eastAsia="uk-UA"/>
              </w:rPr>
              <w:t>65</w:t>
            </w:r>
          </w:p>
        </w:tc>
        <w:tc>
          <w:tcPr>
            <w:tcW w:w="516" w:type="dxa"/>
            <w:tcBorders>
              <w:top w:val="single" w:sz="4" w:space="0" w:color="auto"/>
              <w:left w:val="single" w:sz="4" w:space="0" w:color="auto"/>
              <w:bottom w:val="single" w:sz="4" w:space="0" w:color="auto"/>
              <w:right w:val="single" w:sz="4" w:space="0" w:color="auto"/>
            </w:tcBorders>
            <w:vAlign w:val="center"/>
          </w:tcPr>
          <w:p w:rsidR="004A7C6F" w:rsidRDefault="004A7C6F" w:rsidP="009A1975">
            <w:pPr>
              <w:jc w:val="center"/>
              <w:rPr>
                <w:b/>
                <w:bCs/>
                <w:sz w:val="18"/>
                <w:szCs w:val="18"/>
                <w:lang w:eastAsia="uk-UA"/>
              </w:rPr>
            </w:pPr>
            <w:r>
              <w:rPr>
                <w:b/>
                <w:bCs/>
                <w:sz w:val="18"/>
                <w:szCs w:val="18"/>
                <w:lang w:eastAsia="uk-UA"/>
              </w:rPr>
              <w:t>45</w:t>
            </w:r>
          </w:p>
        </w:tc>
        <w:tc>
          <w:tcPr>
            <w:tcW w:w="907" w:type="dxa"/>
            <w:tcBorders>
              <w:top w:val="single" w:sz="4" w:space="0" w:color="auto"/>
              <w:left w:val="single" w:sz="4" w:space="0" w:color="auto"/>
              <w:bottom w:val="single" w:sz="4" w:space="0" w:color="auto"/>
              <w:right w:val="single" w:sz="4" w:space="0" w:color="auto"/>
            </w:tcBorders>
            <w:vAlign w:val="center"/>
          </w:tcPr>
          <w:p w:rsidR="004A7C6F" w:rsidRDefault="004A7C6F">
            <w:pPr>
              <w:jc w:val="center"/>
              <w:rPr>
                <w:b/>
                <w:bCs/>
                <w:sz w:val="18"/>
                <w:szCs w:val="18"/>
                <w:lang w:eastAsia="uk-UA"/>
              </w:rPr>
            </w:pPr>
            <w:r>
              <w:rPr>
                <w:b/>
                <w:bCs/>
                <w:sz w:val="18"/>
                <w:szCs w:val="18"/>
                <w:lang w:eastAsia="uk-UA"/>
              </w:rPr>
              <w:t>6</w:t>
            </w:r>
          </w:p>
        </w:tc>
        <w:tc>
          <w:tcPr>
            <w:tcW w:w="855"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16" w:type="dxa"/>
            <w:tcBorders>
              <w:top w:val="single" w:sz="4" w:space="0" w:color="auto"/>
              <w:left w:val="nil"/>
              <w:bottom w:val="single" w:sz="4" w:space="0" w:color="auto"/>
              <w:right w:val="single" w:sz="4" w:space="0" w:color="000000"/>
            </w:tcBorders>
            <w:vAlign w:val="center"/>
          </w:tcPr>
          <w:p w:rsidR="004A7C6F" w:rsidRDefault="004A7C6F">
            <w:pPr>
              <w:jc w:val="center"/>
              <w:rPr>
                <w:b/>
                <w:bCs/>
                <w:sz w:val="18"/>
                <w:szCs w:val="18"/>
                <w:lang w:eastAsia="uk-UA"/>
              </w:rPr>
            </w:pPr>
          </w:p>
        </w:tc>
        <w:tc>
          <w:tcPr>
            <w:tcW w:w="789"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r>
              <w:rPr>
                <w:b/>
                <w:bCs/>
                <w:sz w:val="18"/>
                <w:szCs w:val="18"/>
                <w:lang w:eastAsia="uk-UA"/>
              </w:rPr>
              <w:t>3</w:t>
            </w:r>
          </w:p>
        </w:tc>
        <w:tc>
          <w:tcPr>
            <w:tcW w:w="709"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69"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96"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15"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r>
              <w:rPr>
                <w:b/>
                <w:bCs/>
                <w:sz w:val="18"/>
                <w:szCs w:val="18"/>
                <w:lang w:eastAsia="uk-UA"/>
              </w:rPr>
              <w:t>71</w:t>
            </w:r>
          </w:p>
        </w:tc>
        <w:tc>
          <w:tcPr>
            <w:tcW w:w="516" w:type="dxa"/>
            <w:tcBorders>
              <w:top w:val="nil"/>
              <w:left w:val="nil"/>
              <w:bottom w:val="single" w:sz="4" w:space="0" w:color="auto"/>
              <w:right w:val="single" w:sz="4" w:space="0" w:color="auto"/>
            </w:tcBorders>
            <w:vAlign w:val="center"/>
          </w:tcPr>
          <w:p w:rsidR="004A7C6F" w:rsidRDefault="004A7C6F">
            <w:pPr>
              <w:jc w:val="center"/>
              <w:rPr>
                <w:b/>
                <w:bCs/>
                <w:sz w:val="18"/>
                <w:szCs w:val="18"/>
                <w:lang w:eastAsia="uk-UA"/>
              </w:rPr>
            </w:pPr>
            <w:r>
              <w:rPr>
                <w:b/>
                <w:bCs/>
                <w:sz w:val="18"/>
                <w:szCs w:val="18"/>
                <w:lang w:eastAsia="uk-UA"/>
              </w:rPr>
              <w:t>48</w:t>
            </w:r>
          </w:p>
        </w:tc>
        <w:tc>
          <w:tcPr>
            <w:tcW w:w="816" w:type="dxa"/>
            <w:gridSpan w:val="2"/>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1063"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1773" w:type="dxa"/>
            <w:tcBorders>
              <w:top w:val="nil"/>
              <w:left w:val="nil"/>
              <w:bottom w:val="single" w:sz="4" w:space="0" w:color="auto"/>
              <w:right w:val="single" w:sz="4" w:space="0" w:color="auto"/>
            </w:tcBorders>
            <w:vAlign w:val="center"/>
            <w:hideMark/>
          </w:tcPr>
          <w:p w:rsidR="004A7C6F" w:rsidRDefault="004A7C6F">
            <w:pPr>
              <w:jc w:val="center"/>
              <w:rPr>
                <w:sz w:val="18"/>
                <w:szCs w:val="18"/>
                <w:lang w:eastAsia="uk-UA"/>
              </w:rPr>
            </w:pPr>
            <w:r>
              <w:rPr>
                <w:sz w:val="18"/>
                <w:szCs w:val="18"/>
                <w:lang w:eastAsia="uk-UA"/>
              </w:rPr>
              <w:t>о</w:t>
            </w:r>
          </w:p>
        </w:tc>
      </w:tr>
      <w:tr w:rsidR="004A7C6F" w:rsidTr="004A7C6F">
        <w:trPr>
          <w:trHeight w:val="465"/>
        </w:trPr>
        <w:tc>
          <w:tcPr>
            <w:tcW w:w="2128" w:type="dxa"/>
            <w:tcBorders>
              <w:top w:val="single" w:sz="4" w:space="0" w:color="auto"/>
              <w:left w:val="single" w:sz="4" w:space="0" w:color="auto"/>
              <w:bottom w:val="single" w:sz="4" w:space="0" w:color="auto"/>
              <w:right w:val="single" w:sz="4" w:space="0" w:color="auto"/>
            </w:tcBorders>
            <w:vAlign w:val="bottom"/>
            <w:hideMark/>
          </w:tcPr>
          <w:p w:rsidR="004A7C6F" w:rsidRDefault="004A7C6F">
            <w:pPr>
              <w:rPr>
                <w:i/>
                <w:iCs/>
                <w:sz w:val="18"/>
                <w:szCs w:val="18"/>
                <w:lang w:eastAsia="uk-UA"/>
              </w:rPr>
            </w:pPr>
            <w:r>
              <w:rPr>
                <w:i/>
                <w:iCs/>
                <w:sz w:val="18"/>
                <w:szCs w:val="18"/>
                <w:lang w:eastAsia="uk-UA"/>
              </w:rPr>
              <w:t>Транспортні засоби</w:t>
            </w:r>
          </w:p>
        </w:tc>
        <w:tc>
          <w:tcPr>
            <w:tcW w:w="852" w:type="dxa"/>
            <w:tcBorders>
              <w:top w:val="single" w:sz="4" w:space="0" w:color="auto"/>
              <w:left w:val="nil"/>
              <w:bottom w:val="single" w:sz="4" w:space="0" w:color="auto"/>
              <w:right w:val="single" w:sz="4" w:space="0" w:color="auto"/>
            </w:tcBorders>
            <w:vAlign w:val="center"/>
            <w:hideMark/>
          </w:tcPr>
          <w:p w:rsidR="004A7C6F" w:rsidRDefault="004A7C6F">
            <w:pPr>
              <w:jc w:val="center"/>
              <w:rPr>
                <w:sz w:val="18"/>
                <w:szCs w:val="18"/>
                <w:lang w:eastAsia="uk-UA"/>
              </w:rPr>
            </w:pPr>
          </w:p>
        </w:tc>
        <w:tc>
          <w:tcPr>
            <w:tcW w:w="856" w:type="dxa"/>
            <w:tcBorders>
              <w:top w:val="single" w:sz="4" w:space="0" w:color="auto"/>
              <w:left w:val="nil"/>
              <w:bottom w:val="single" w:sz="4" w:space="0" w:color="auto"/>
              <w:right w:val="nil"/>
            </w:tcBorders>
            <w:vAlign w:val="center"/>
          </w:tcPr>
          <w:p w:rsidR="004A7C6F" w:rsidRDefault="004A7C6F" w:rsidP="009A1975">
            <w:pPr>
              <w:jc w:val="center"/>
              <w:rPr>
                <w:b/>
                <w:bCs/>
                <w:sz w:val="18"/>
                <w:szCs w:val="18"/>
                <w:lang w:eastAsia="uk-UA"/>
              </w:rPr>
            </w:pPr>
          </w:p>
        </w:tc>
        <w:tc>
          <w:tcPr>
            <w:tcW w:w="516" w:type="dxa"/>
            <w:tcBorders>
              <w:top w:val="single" w:sz="4" w:space="0" w:color="auto"/>
              <w:left w:val="single" w:sz="4" w:space="0" w:color="auto"/>
              <w:bottom w:val="single" w:sz="4" w:space="0" w:color="auto"/>
              <w:right w:val="single" w:sz="4" w:space="0" w:color="auto"/>
            </w:tcBorders>
            <w:vAlign w:val="center"/>
          </w:tcPr>
          <w:p w:rsidR="004A7C6F" w:rsidRDefault="004A7C6F" w:rsidP="009A1975">
            <w:pPr>
              <w:jc w:val="center"/>
              <w:rPr>
                <w:b/>
                <w:bCs/>
                <w:sz w:val="18"/>
                <w:szCs w:val="18"/>
                <w:lang w:eastAsia="uk-UA"/>
              </w:rPr>
            </w:pPr>
          </w:p>
        </w:tc>
        <w:tc>
          <w:tcPr>
            <w:tcW w:w="907" w:type="dxa"/>
            <w:tcBorders>
              <w:top w:val="single" w:sz="4" w:space="0" w:color="auto"/>
              <w:left w:val="single" w:sz="4" w:space="0" w:color="auto"/>
              <w:bottom w:val="single" w:sz="4" w:space="0" w:color="auto"/>
              <w:right w:val="single" w:sz="4" w:space="0" w:color="auto"/>
            </w:tcBorders>
            <w:vAlign w:val="center"/>
          </w:tcPr>
          <w:p w:rsidR="004A7C6F" w:rsidRDefault="004A7C6F">
            <w:pPr>
              <w:jc w:val="center"/>
              <w:rPr>
                <w:b/>
                <w:bCs/>
                <w:sz w:val="18"/>
                <w:szCs w:val="18"/>
                <w:lang w:eastAsia="uk-UA"/>
              </w:rPr>
            </w:pPr>
          </w:p>
        </w:tc>
        <w:tc>
          <w:tcPr>
            <w:tcW w:w="855"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16" w:type="dxa"/>
            <w:tcBorders>
              <w:top w:val="single" w:sz="4" w:space="0" w:color="auto"/>
              <w:left w:val="nil"/>
              <w:bottom w:val="single" w:sz="4" w:space="0" w:color="auto"/>
              <w:right w:val="single" w:sz="4" w:space="0" w:color="000000"/>
            </w:tcBorders>
            <w:vAlign w:val="center"/>
          </w:tcPr>
          <w:p w:rsidR="004A7C6F" w:rsidRDefault="004A7C6F">
            <w:pPr>
              <w:jc w:val="center"/>
              <w:rPr>
                <w:b/>
                <w:bCs/>
                <w:sz w:val="18"/>
                <w:szCs w:val="18"/>
                <w:lang w:eastAsia="uk-UA"/>
              </w:rPr>
            </w:pPr>
          </w:p>
        </w:tc>
        <w:tc>
          <w:tcPr>
            <w:tcW w:w="789"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709"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69"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96"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15"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16" w:type="dxa"/>
            <w:tcBorders>
              <w:top w:val="nil"/>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16" w:type="dxa"/>
            <w:gridSpan w:val="2"/>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1063"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1773" w:type="dxa"/>
            <w:tcBorders>
              <w:top w:val="nil"/>
              <w:left w:val="nil"/>
              <w:bottom w:val="single" w:sz="4" w:space="0" w:color="auto"/>
              <w:right w:val="single" w:sz="4" w:space="0" w:color="auto"/>
            </w:tcBorders>
            <w:vAlign w:val="center"/>
            <w:hideMark/>
          </w:tcPr>
          <w:p w:rsidR="004A7C6F" w:rsidRDefault="004A7C6F">
            <w:pPr>
              <w:jc w:val="center"/>
              <w:rPr>
                <w:sz w:val="18"/>
                <w:szCs w:val="18"/>
                <w:lang w:eastAsia="uk-UA"/>
              </w:rPr>
            </w:pPr>
          </w:p>
        </w:tc>
      </w:tr>
      <w:tr w:rsidR="004A7C6F" w:rsidTr="004A7C6F">
        <w:trPr>
          <w:trHeight w:val="480"/>
        </w:trPr>
        <w:tc>
          <w:tcPr>
            <w:tcW w:w="2128" w:type="dxa"/>
            <w:tcBorders>
              <w:top w:val="single" w:sz="4" w:space="0" w:color="auto"/>
              <w:left w:val="single" w:sz="4" w:space="0" w:color="auto"/>
              <w:bottom w:val="single" w:sz="4" w:space="0" w:color="auto"/>
              <w:right w:val="single" w:sz="4" w:space="0" w:color="auto"/>
            </w:tcBorders>
            <w:vAlign w:val="bottom"/>
            <w:hideMark/>
          </w:tcPr>
          <w:p w:rsidR="004A7C6F" w:rsidRDefault="004A7C6F">
            <w:pPr>
              <w:rPr>
                <w:i/>
                <w:iCs/>
                <w:sz w:val="18"/>
                <w:szCs w:val="18"/>
                <w:lang w:eastAsia="uk-UA"/>
              </w:rPr>
            </w:pPr>
            <w:r>
              <w:rPr>
                <w:i/>
                <w:iCs/>
                <w:sz w:val="18"/>
                <w:szCs w:val="18"/>
                <w:lang w:eastAsia="uk-UA"/>
              </w:rPr>
              <w:t>Інструменти, прилади, інвентар (меблі)</w:t>
            </w:r>
          </w:p>
        </w:tc>
        <w:tc>
          <w:tcPr>
            <w:tcW w:w="852" w:type="dxa"/>
            <w:tcBorders>
              <w:top w:val="single" w:sz="4" w:space="0" w:color="auto"/>
              <w:left w:val="nil"/>
              <w:bottom w:val="single" w:sz="4" w:space="0" w:color="auto"/>
              <w:right w:val="single" w:sz="4" w:space="0" w:color="auto"/>
            </w:tcBorders>
            <w:vAlign w:val="center"/>
            <w:hideMark/>
          </w:tcPr>
          <w:p w:rsidR="004A7C6F" w:rsidRDefault="004A7C6F">
            <w:pPr>
              <w:jc w:val="center"/>
              <w:rPr>
                <w:sz w:val="18"/>
                <w:szCs w:val="18"/>
                <w:lang w:eastAsia="uk-UA"/>
              </w:rPr>
            </w:pPr>
            <w:r>
              <w:rPr>
                <w:sz w:val="18"/>
                <w:szCs w:val="18"/>
                <w:lang w:eastAsia="uk-UA"/>
              </w:rPr>
              <w:t xml:space="preserve"> 4-6 </w:t>
            </w:r>
          </w:p>
        </w:tc>
        <w:tc>
          <w:tcPr>
            <w:tcW w:w="856" w:type="dxa"/>
            <w:tcBorders>
              <w:top w:val="single" w:sz="4" w:space="0" w:color="auto"/>
              <w:left w:val="nil"/>
              <w:bottom w:val="single" w:sz="4" w:space="0" w:color="auto"/>
              <w:right w:val="nil"/>
            </w:tcBorders>
            <w:vAlign w:val="center"/>
          </w:tcPr>
          <w:p w:rsidR="004A7C6F" w:rsidRDefault="004A7C6F" w:rsidP="009A1975">
            <w:pPr>
              <w:jc w:val="center"/>
              <w:rPr>
                <w:b/>
                <w:bCs/>
                <w:sz w:val="18"/>
                <w:szCs w:val="18"/>
                <w:lang w:eastAsia="uk-UA"/>
              </w:rPr>
            </w:pPr>
            <w:r>
              <w:rPr>
                <w:b/>
                <w:bCs/>
                <w:sz w:val="18"/>
                <w:szCs w:val="18"/>
                <w:lang w:eastAsia="uk-UA"/>
              </w:rPr>
              <w:t>52</w:t>
            </w:r>
          </w:p>
        </w:tc>
        <w:tc>
          <w:tcPr>
            <w:tcW w:w="516" w:type="dxa"/>
            <w:tcBorders>
              <w:top w:val="single" w:sz="4" w:space="0" w:color="auto"/>
              <w:left w:val="single" w:sz="4" w:space="0" w:color="auto"/>
              <w:bottom w:val="single" w:sz="4" w:space="0" w:color="auto"/>
              <w:right w:val="single" w:sz="4" w:space="0" w:color="auto"/>
            </w:tcBorders>
            <w:vAlign w:val="center"/>
          </w:tcPr>
          <w:p w:rsidR="004A7C6F" w:rsidRPr="001D66D9" w:rsidRDefault="004A7C6F" w:rsidP="009A1975">
            <w:pPr>
              <w:jc w:val="center"/>
              <w:rPr>
                <w:b/>
                <w:bCs/>
                <w:sz w:val="18"/>
                <w:szCs w:val="18"/>
                <w:lang w:val="en-US" w:eastAsia="uk-UA"/>
              </w:rPr>
            </w:pPr>
            <w:r>
              <w:rPr>
                <w:b/>
                <w:bCs/>
                <w:sz w:val="18"/>
                <w:szCs w:val="18"/>
                <w:lang w:eastAsia="uk-UA"/>
              </w:rPr>
              <w:t>4</w:t>
            </w:r>
            <w:r>
              <w:rPr>
                <w:b/>
                <w:bCs/>
                <w:sz w:val="18"/>
                <w:szCs w:val="18"/>
                <w:lang w:val="en-US" w:eastAsia="uk-UA"/>
              </w:rPr>
              <w:t>3</w:t>
            </w:r>
          </w:p>
        </w:tc>
        <w:tc>
          <w:tcPr>
            <w:tcW w:w="907" w:type="dxa"/>
            <w:tcBorders>
              <w:top w:val="single" w:sz="4" w:space="0" w:color="auto"/>
              <w:left w:val="single" w:sz="4" w:space="0" w:color="auto"/>
              <w:bottom w:val="single" w:sz="4" w:space="0" w:color="auto"/>
              <w:right w:val="single" w:sz="4" w:space="0" w:color="auto"/>
            </w:tcBorders>
            <w:vAlign w:val="center"/>
          </w:tcPr>
          <w:p w:rsidR="004A7C6F" w:rsidRDefault="004A7C6F">
            <w:pPr>
              <w:jc w:val="center"/>
              <w:rPr>
                <w:b/>
                <w:bCs/>
                <w:sz w:val="18"/>
                <w:szCs w:val="18"/>
                <w:lang w:eastAsia="uk-UA"/>
              </w:rPr>
            </w:pPr>
            <w:r>
              <w:rPr>
                <w:b/>
                <w:bCs/>
                <w:sz w:val="18"/>
                <w:szCs w:val="18"/>
                <w:lang w:eastAsia="uk-UA"/>
              </w:rPr>
              <w:t>2</w:t>
            </w:r>
          </w:p>
        </w:tc>
        <w:tc>
          <w:tcPr>
            <w:tcW w:w="855"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16" w:type="dxa"/>
            <w:tcBorders>
              <w:top w:val="single" w:sz="4" w:space="0" w:color="auto"/>
              <w:left w:val="nil"/>
              <w:bottom w:val="single" w:sz="4" w:space="0" w:color="auto"/>
              <w:right w:val="single" w:sz="4" w:space="0" w:color="000000"/>
            </w:tcBorders>
            <w:vAlign w:val="center"/>
          </w:tcPr>
          <w:p w:rsidR="004A7C6F" w:rsidRDefault="004A7C6F">
            <w:pPr>
              <w:jc w:val="center"/>
              <w:rPr>
                <w:b/>
                <w:bCs/>
                <w:sz w:val="18"/>
                <w:szCs w:val="18"/>
                <w:lang w:eastAsia="uk-UA"/>
              </w:rPr>
            </w:pPr>
          </w:p>
        </w:tc>
        <w:tc>
          <w:tcPr>
            <w:tcW w:w="789" w:type="dxa"/>
            <w:tcBorders>
              <w:top w:val="single" w:sz="4" w:space="0" w:color="auto"/>
              <w:left w:val="nil"/>
              <w:bottom w:val="single" w:sz="4" w:space="0" w:color="auto"/>
              <w:right w:val="nil"/>
            </w:tcBorders>
            <w:vAlign w:val="center"/>
          </w:tcPr>
          <w:p w:rsidR="004A7C6F" w:rsidRPr="004A7C6F" w:rsidRDefault="004A7C6F">
            <w:pPr>
              <w:jc w:val="center"/>
              <w:rPr>
                <w:b/>
                <w:bCs/>
                <w:sz w:val="18"/>
                <w:szCs w:val="18"/>
                <w:lang w:eastAsia="uk-UA"/>
              </w:rPr>
            </w:pPr>
            <w:r>
              <w:rPr>
                <w:b/>
                <w:bCs/>
                <w:sz w:val="18"/>
                <w:szCs w:val="18"/>
                <w:lang w:eastAsia="uk-UA"/>
              </w:rPr>
              <w:t>7</w:t>
            </w:r>
          </w:p>
        </w:tc>
        <w:tc>
          <w:tcPr>
            <w:tcW w:w="709" w:type="dxa"/>
            <w:tcBorders>
              <w:top w:val="single" w:sz="4" w:space="0" w:color="auto"/>
              <w:left w:val="single" w:sz="4" w:space="0" w:color="auto"/>
              <w:bottom w:val="single" w:sz="4" w:space="0" w:color="auto"/>
              <w:right w:val="single" w:sz="4" w:space="0" w:color="auto"/>
            </w:tcBorders>
            <w:vAlign w:val="center"/>
          </w:tcPr>
          <w:p w:rsidR="004A7C6F" w:rsidRDefault="004A7C6F">
            <w:pPr>
              <w:jc w:val="center"/>
              <w:rPr>
                <w:b/>
                <w:bCs/>
                <w:sz w:val="18"/>
                <w:szCs w:val="18"/>
                <w:lang w:eastAsia="uk-UA"/>
              </w:rPr>
            </w:pPr>
          </w:p>
        </w:tc>
        <w:tc>
          <w:tcPr>
            <w:tcW w:w="869"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96"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15"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r>
              <w:rPr>
                <w:b/>
                <w:bCs/>
                <w:sz w:val="18"/>
                <w:szCs w:val="18"/>
                <w:lang w:eastAsia="uk-UA"/>
              </w:rPr>
              <w:t>54</w:t>
            </w:r>
          </w:p>
        </w:tc>
        <w:tc>
          <w:tcPr>
            <w:tcW w:w="516" w:type="dxa"/>
            <w:tcBorders>
              <w:top w:val="nil"/>
              <w:left w:val="nil"/>
              <w:bottom w:val="single" w:sz="4" w:space="0" w:color="auto"/>
              <w:right w:val="single" w:sz="4" w:space="0" w:color="auto"/>
            </w:tcBorders>
            <w:vAlign w:val="center"/>
          </w:tcPr>
          <w:p w:rsidR="004A7C6F" w:rsidRPr="004A7C6F" w:rsidRDefault="004A7C6F">
            <w:pPr>
              <w:jc w:val="center"/>
              <w:rPr>
                <w:b/>
                <w:bCs/>
                <w:sz w:val="18"/>
                <w:szCs w:val="18"/>
                <w:lang w:eastAsia="uk-UA"/>
              </w:rPr>
            </w:pPr>
            <w:r>
              <w:rPr>
                <w:b/>
                <w:bCs/>
                <w:sz w:val="18"/>
                <w:szCs w:val="18"/>
                <w:lang w:eastAsia="uk-UA"/>
              </w:rPr>
              <w:t>50</w:t>
            </w:r>
          </w:p>
        </w:tc>
        <w:tc>
          <w:tcPr>
            <w:tcW w:w="816" w:type="dxa"/>
            <w:gridSpan w:val="2"/>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1063"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1773" w:type="dxa"/>
            <w:tcBorders>
              <w:top w:val="nil"/>
              <w:left w:val="nil"/>
              <w:bottom w:val="single" w:sz="4" w:space="0" w:color="auto"/>
              <w:right w:val="single" w:sz="4" w:space="0" w:color="auto"/>
            </w:tcBorders>
            <w:vAlign w:val="center"/>
            <w:hideMark/>
          </w:tcPr>
          <w:p w:rsidR="004A7C6F" w:rsidRDefault="004A7C6F">
            <w:pPr>
              <w:jc w:val="center"/>
              <w:rPr>
                <w:sz w:val="18"/>
                <w:szCs w:val="18"/>
                <w:lang w:eastAsia="uk-UA"/>
              </w:rPr>
            </w:pPr>
            <w:r>
              <w:rPr>
                <w:sz w:val="18"/>
                <w:szCs w:val="18"/>
                <w:lang w:eastAsia="uk-UA"/>
              </w:rPr>
              <w:t>о</w:t>
            </w:r>
          </w:p>
        </w:tc>
      </w:tr>
      <w:tr w:rsidR="004A7C6F" w:rsidTr="004A7C6F">
        <w:trPr>
          <w:trHeight w:val="240"/>
        </w:trPr>
        <w:tc>
          <w:tcPr>
            <w:tcW w:w="2128" w:type="dxa"/>
            <w:tcBorders>
              <w:top w:val="single" w:sz="4" w:space="0" w:color="auto"/>
              <w:left w:val="single" w:sz="4" w:space="0" w:color="auto"/>
              <w:bottom w:val="single" w:sz="4" w:space="0" w:color="auto"/>
              <w:right w:val="single" w:sz="4" w:space="0" w:color="auto"/>
            </w:tcBorders>
            <w:vAlign w:val="bottom"/>
            <w:hideMark/>
          </w:tcPr>
          <w:p w:rsidR="004A7C6F" w:rsidRDefault="004A7C6F">
            <w:pPr>
              <w:rPr>
                <w:i/>
                <w:iCs/>
                <w:sz w:val="18"/>
                <w:szCs w:val="18"/>
                <w:lang w:eastAsia="uk-UA"/>
              </w:rPr>
            </w:pPr>
            <w:r>
              <w:rPr>
                <w:i/>
                <w:iCs/>
                <w:sz w:val="18"/>
                <w:szCs w:val="18"/>
                <w:lang w:eastAsia="uk-UA"/>
              </w:rPr>
              <w:t>Інші основні засоби</w:t>
            </w:r>
          </w:p>
        </w:tc>
        <w:tc>
          <w:tcPr>
            <w:tcW w:w="852" w:type="dxa"/>
            <w:tcBorders>
              <w:top w:val="single" w:sz="4" w:space="0" w:color="auto"/>
              <w:left w:val="nil"/>
              <w:bottom w:val="single" w:sz="4" w:space="0" w:color="auto"/>
              <w:right w:val="single" w:sz="4" w:space="0" w:color="auto"/>
            </w:tcBorders>
            <w:vAlign w:val="center"/>
            <w:hideMark/>
          </w:tcPr>
          <w:p w:rsidR="004A7C6F" w:rsidRDefault="004A7C6F">
            <w:pPr>
              <w:jc w:val="center"/>
              <w:rPr>
                <w:sz w:val="18"/>
                <w:szCs w:val="18"/>
                <w:lang w:eastAsia="uk-UA"/>
              </w:rPr>
            </w:pPr>
          </w:p>
        </w:tc>
        <w:tc>
          <w:tcPr>
            <w:tcW w:w="856" w:type="dxa"/>
            <w:tcBorders>
              <w:top w:val="single" w:sz="4" w:space="0" w:color="auto"/>
              <w:left w:val="nil"/>
              <w:bottom w:val="single" w:sz="4" w:space="0" w:color="auto"/>
              <w:right w:val="nil"/>
            </w:tcBorders>
            <w:vAlign w:val="center"/>
          </w:tcPr>
          <w:p w:rsidR="004A7C6F" w:rsidRDefault="004A7C6F" w:rsidP="009A1975">
            <w:pPr>
              <w:jc w:val="center"/>
              <w:rPr>
                <w:b/>
                <w:bCs/>
                <w:sz w:val="18"/>
                <w:szCs w:val="18"/>
                <w:lang w:eastAsia="uk-UA"/>
              </w:rPr>
            </w:pPr>
          </w:p>
        </w:tc>
        <w:tc>
          <w:tcPr>
            <w:tcW w:w="516" w:type="dxa"/>
            <w:tcBorders>
              <w:top w:val="single" w:sz="4" w:space="0" w:color="auto"/>
              <w:left w:val="single" w:sz="4" w:space="0" w:color="auto"/>
              <w:bottom w:val="single" w:sz="4" w:space="0" w:color="auto"/>
              <w:right w:val="single" w:sz="4" w:space="0" w:color="auto"/>
            </w:tcBorders>
            <w:vAlign w:val="center"/>
          </w:tcPr>
          <w:p w:rsidR="004A7C6F" w:rsidRDefault="004A7C6F" w:rsidP="009A1975">
            <w:pPr>
              <w:jc w:val="center"/>
              <w:rPr>
                <w:b/>
                <w:bCs/>
                <w:sz w:val="18"/>
                <w:szCs w:val="18"/>
                <w:lang w:eastAsia="uk-UA"/>
              </w:rPr>
            </w:pPr>
          </w:p>
        </w:tc>
        <w:tc>
          <w:tcPr>
            <w:tcW w:w="907" w:type="dxa"/>
            <w:tcBorders>
              <w:top w:val="single" w:sz="4" w:space="0" w:color="auto"/>
              <w:left w:val="single" w:sz="4" w:space="0" w:color="auto"/>
              <w:bottom w:val="single" w:sz="4" w:space="0" w:color="auto"/>
              <w:right w:val="single" w:sz="4" w:space="0" w:color="auto"/>
            </w:tcBorders>
            <w:vAlign w:val="center"/>
          </w:tcPr>
          <w:p w:rsidR="004A7C6F" w:rsidRDefault="004A7C6F">
            <w:pPr>
              <w:jc w:val="center"/>
              <w:rPr>
                <w:b/>
                <w:bCs/>
                <w:sz w:val="18"/>
                <w:szCs w:val="18"/>
                <w:lang w:eastAsia="uk-UA"/>
              </w:rPr>
            </w:pPr>
          </w:p>
        </w:tc>
        <w:tc>
          <w:tcPr>
            <w:tcW w:w="855"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16" w:type="dxa"/>
            <w:tcBorders>
              <w:top w:val="single" w:sz="4" w:space="0" w:color="auto"/>
              <w:left w:val="nil"/>
              <w:bottom w:val="single" w:sz="4" w:space="0" w:color="auto"/>
              <w:right w:val="single" w:sz="4" w:space="0" w:color="000000"/>
            </w:tcBorders>
            <w:vAlign w:val="center"/>
          </w:tcPr>
          <w:p w:rsidR="004A7C6F" w:rsidRDefault="004A7C6F">
            <w:pPr>
              <w:jc w:val="center"/>
              <w:rPr>
                <w:b/>
                <w:bCs/>
                <w:sz w:val="18"/>
                <w:szCs w:val="18"/>
                <w:lang w:eastAsia="uk-UA"/>
              </w:rPr>
            </w:pPr>
          </w:p>
        </w:tc>
        <w:tc>
          <w:tcPr>
            <w:tcW w:w="789" w:type="dxa"/>
            <w:tcBorders>
              <w:top w:val="single" w:sz="4" w:space="0" w:color="auto"/>
              <w:left w:val="nil"/>
              <w:bottom w:val="single" w:sz="4" w:space="0" w:color="auto"/>
              <w:right w:val="nil"/>
            </w:tcBorders>
            <w:vAlign w:val="center"/>
          </w:tcPr>
          <w:p w:rsidR="004A7C6F" w:rsidRDefault="004A7C6F">
            <w:pPr>
              <w:jc w:val="center"/>
              <w:rPr>
                <w:b/>
                <w:bCs/>
                <w:sz w:val="18"/>
                <w:szCs w:val="18"/>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4A7C6F" w:rsidRDefault="004A7C6F">
            <w:pPr>
              <w:jc w:val="center"/>
              <w:rPr>
                <w:b/>
                <w:bCs/>
                <w:sz w:val="18"/>
                <w:szCs w:val="18"/>
                <w:lang w:eastAsia="uk-UA"/>
              </w:rPr>
            </w:pPr>
          </w:p>
        </w:tc>
        <w:tc>
          <w:tcPr>
            <w:tcW w:w="869"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96"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15"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16" w:type="dxa"/>
            <w:tcBorders>
              <w:top w:val="nil"/>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16" w:type="dxa"/>
            <w:gridSpan w:val="2"/>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1063"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1773" w:type="dxa"/>
            <w:tcBorders>
              <w:top w:val="nil"/>
              <w:left w:val="nil"/>
              <w:bottom w:val="single" w:sz="4" w:space="0" w:color="auto"/>
              <w:right w:val="single" w:sz="4" w:space="0" w:color="auto"/>
            </w:tcBorders>
            <w:vAlign w:val="center"/>
            <w:hideMark/>
          </w:tcPr>
          <w:p w:rsidR="004A7C6F" w:rsidRDefault="004A7C6F">
            <w:pPr>
              <w:jc w:val="center"/>
              <w:rPr>
                <w:sz w:val="18"/>
                <w:szCs w:val="18"/>
                <w:lang w:eastAsia="uk-UA"/>
              </w:rPr>
            </w:pPr>
            <w:r>
              <w:rPr>
                <w:sz w:val="18"/>
                <w:szCs w:val="18"/>
                <w:lang w:eastAsia="uk-UA"/>
              </w:rPr>
              <w:t>о</w:t>
            </w:r>
          </w:p>
        </w:tc>
      </w:tr>
      <w:tr w:rsidR="004A7C6F" w:rsidTr="004A7C6F">
        <w:trPr>
          <w:trHeight w:val="240"/>
        </w:trPr>
        <w:tc>
          <w:tcPr>
            <w:tcW w:w="2128" w:type="dxa"/>
            <w:tcBorders>
              <w:top w:val="single" w:sz="4" w:space="0" w:color="auto"/>
              <w:left w:val="single" w:sz="4" w:space="0" w:color="auto"/>
              <w:bottom w:val="single" w:sz="4" w:space="0" w:color="auto"/>
              <w:right w:val="single" w:sz="4" w:space="0" w:color="000000"/>
            </w:tcBorders>
            <w:vAlign w:val="bottom"/>
            <w:hideMark/>
          </w:tcPr>
          <w:p w:rsidR="004A7C6F" w:rsidRDefault="004A7C6F">
            <w:pPr>
              <w:rPr>
                <w:i/>
                <w:iCs/>
                <w:sz w:val="18"/>
                <w:szCs w:val="18"/>
                <w:lang w:eastAsia="uk-UA"/>
              </w:rPr>
            </w:pPr>
            <w:r>
              <w:rPr>
                <w:i/>
                <w:iCs/>
                <w:sz w:val="18"/>
                <w:szCs w:val="18"/>
                <w:lang w:eastAsia="uk-UA"/>
              </w:rPr>
              <w:t>Бібліотечні фонди</w:t>
            </w:r>
          </w:p>
        </w:tc>
        <w:tc>
          <w:tcPr>
            <w:tcW w:w="852" w:type="dxa"/>
            <w:tcBorders>
              <w:top w:val="single" w:sz="4" w:space="0" w:color="auto"/>
              <w:left w:val="nil"/>
              <w:bottom w:val="single" w:sz="4" w:space="0" w:color="auto"/>
              <w:right w:val="single" w:sz="4" w:space="0" w:color="000000"/>
            </w:tcBorders>
            <w:vAlign w:val="center"/>
            <w:hideMark/>
          </w:tcPr>
          <w:p w:rsidR="004A7C6F" w:rsidRDefault="004A7C6F">
            <w:pPr>
              <w:jc w:val="center"/>
              <w:rPr>
                <w:sz w:val="18"/>
                <w:szCs w:val="18"/>
                <w:lang w:eastAsia="uk-UA"/>
              </w:rPr>
            </w:pPr>
            <w:r>
              <w:rPr>
                <w:sz w:val="18"/>
                <w:szCs w:val="18"/>
                <w:lang w:eastAsia="uk-UA"/>
              </w:rPr>
              <w:t> </w:t>
            </w:r>
          </w:p>
        </w:tc>
        <w:tc>
          <w:tcPr>
            <w:tcW w:w="856" w:type="dxa"/>
            <w:tcBorders>
              <w:top w:val="single" w:sz="4" w:space="0" w:color="auto"/>
              <w:left w:val="nil"/>
              <w:bottom w:val="single" w:sz="4" w:space="0" w:color="auto"/>
              <w:right w:val="nil"/>
            </w:tcBorders>
            <w:vAlign w:val="center"/>
          </w:tcPr>
          <w:p w:rsidR="004A7C6F" w:rsidRDefault="004A7C6F" w:rsidP="009A1975">
            <w:pPr>
              <w:jc w:val="center"/>
              <w:rPr>
                <w:b/>
                <w:bCs/>
                <w:sz w:val="18"/>
                <w:szCs w:val="18"/>
                <w:lang w:eastAsia="uk-UA"/>
              </w:rPr>
            </w:pPr>
          </w:p>
        </w:tc>
        <w:tc>
          <w:tcPr>
            <w:tcW w:w="516" w:type="dxa"/>
            <w:tcBorders>
              <w:top w:val="single" w:sz="4" w:space="0" w:color="auto"/>
              <w:left w:val="single" w:sz="4" w:space="0" w:color="auto"/>
              <w:bottom w:val="single" w:sz="4" w:space="0" w:color="auto"/>
              <w:right w:val="single" w:sz="4" w:space="0" w:color="auto"/>
            </w:tcBorders>
            <w:vAlign w:val="center"/>
          </w:tcPr>
          <w:p w:rsidR="004A7C6F" w:rsidRDefault="004A7C6F" w:rsidP="009A1975">
            <w:pPr>
              <w:jc w:val="center"/>
              <w:rPr>
                <w:b/>
                <w:bCs/>
                <w:sz w:val="18"/>
                <w:szCs w:val="18"/>
                <w:lang w:eastAsia="uk-UA"/>
              </w:rPr>
            </w:pPr>
          </w:p>
        </w:tc>
        <w:tc>
          <w:tcPr>
            <w:tcW w:w="907" w:type="dxa"/>
            <w:tcBorders>
              <w:top w:val="single" w:sz="4" w:space="0" w:color="auto"/>
              <w:left w:val="single" w:sz="4" w:space="0" w:color="auto"/>
              <w:bottom w:val="single" w:sz="4" w:space="0" w:color="auto"/>
              <w:right w:val="single" w:sz="4" w:space="0" w:color="000000"/>
            </w:tcBorders>
            <w:vAlign w:val="center"/>
          </w:tcPr>
          <w:p w:rsidR="004A7C6F" w:rsidRDefault="004A7C6F">
            <w:pPr>
              <w:jc w:val="center"/>
              <w:rPr>
                <w:b/>
                <w:bCs/>
                <w:sz w:val="18"/>
                <w:szCs w:val="18"/>
                <w:lang w:eastAsia="uk-UA"/>
              </w:rPr>
            </w:pPr>
          </w:p>
        </w:tc>
        <w:tc>
          <w:tcPr>
            <w:tcW w:w="855" w:type="dxa"/>
            <w:tcBorders>
              <w:top w:val="single" w:sz="4" w:space="0" w:color="auto"/>
              <w:left w:val="nil"/>
              <w:bottom w:val="single" w:sz="4" w:space="0" w:color="auto"/>
              <w:right w:val="single" w:sz="4" w:space="0" w:color="000000"/>
            </w:tcBorders>
            <w:vAlign w:val="center"/>
          </w:tcPr>
          <w:p w:rsidR="004A7C6F" w:rsidRDefault="004A7C6F">
            <w:pPr>
              <w:jc w:val="center"/>
              <w:rPr>
                <w:b/>
                <w:bCs/>
                <w:sz w:val="18"/>
                <w:szCs w:val="18"/>
                <w:lang w:eastAsia="uk-UA"/>
              </w:rPr>
            </w:pPr>
          </w:p>
        </w:tc>
        <w:tc>
          <w:tcPr>
            <w:tcW w:w="516" w:type="dxa"/>
            <w:tcBorders>
              <w:top w:val="single" w:sz="4" w:space="0" w:color="auto"/>
              <w:left w:val="nil"/>
              <w:bottom w:val="single" w:sz="4" w:space="0" w:color="auto"/>
              <w:right w:val="single" w:sz="4" w:space="0" w:color="000000"/>
            </w:tcBorders>
            <w:vAlign w:val="center"/>
          </w:tcPr>
          <w:p w:rsidR="004A7C6F" w:rsidRDefault="004A7C6F">
            <w:pPr>
              <w:jc w:val="center"/>
              <w:rPr>
                <w:b/>
                <w:bCs/>
                <w:sz w:val="18"/>
                <w:szCs w:val="18"/>
                <w:lang w:eastAsia="uk-UA"/>
              </w:rPr>
            </w:pPr>
          </w:p>
        </w:tc>
        <w:tc>
          <w:tcPr>
            <w:tcW w:w="789" w:type="dxa"/>
            <w:tcBorders>
              <w:top w:val="single" w:sz="4" w:space="0" w:color="auto"/>
              <w:left w:val="nil"/>
              <w:bottom w:val="single" w:sz="4" w:space="0" w:color="auto"/>
              <w:right w:val="nil"/>
            </w:tcBorders>
            <w:vAlign w:val="center"/>
          </w:tcPr>
          <w:p w:rsidR="004A7C6F" w:rsidRDefault="004A7C6F">
            <w:pPr>
              <w:jc w:val="center"/>
              <w:rPr>
                <w:b/>
                <w:bCs/>
                <w:sz w:val="18"/>
                <w:szCs w:val="18"/>
                <w:lang w:eastAsia="uk-UA"/>
              </w:rPr>
            </w:pPr>
          </w:p>
        </w:tc>
        <w:tc>
          <w:tcPr>
            <w:tcW w:w="709" w:type="dxa"/>
            <w:tcBorders>
              <w:top w:val="single" w:sz="4" w:space="0" w:color="auto"/>
              <w:left w:val="single" w:sz="4" w:space="0" w:color="auto"/>
              <w:bottom w:val="single" w:sz="4" w:space="0" w:color="auto"/>
              <w:right w:val="nil"/>
            </w:tcBorders>
            <w:vAlign w:val="center"/>
          </w:tcPr>
          <w:p w:rsidR="004A7C6F" w:rsidRDefault="004A7C6F">
            <w:pPr>
              <w:jc w:val="center"/>
              <w:rPr>
                <w:b/>
                <w:bCs/>
                <w:sz w:val="18"/>
                <w:szCs w:val="18"/>
                <w:lang w:eastAsia="uk-UA"/>
              </w:rPr>
            </w:pPr>
          </w:p>
        </w:tc>
        <w:tc>
          <w:tcPr>
            <w:tcW w:w="869" w:type="dxa"/>
            <w:tcBorders>
              <w:top w:val="single" w:sz="4" w:space="0" w:color="auto"/>
              <w:left w:val="single" w:sz="4" w:space="0" w:color="auto"/>
              <w:bottom w:val="single" w:sz="4" w:space="0" w:color="auto"/>
              <w:right w:val="nil"/>
            </w:tcBorders>
            <w:vAlign w:val="center"/>
          </w:tcPr>
          <w:p w:rsidR="004A7C6F" w:rsidRDefault="004A7C6F">
            <w:pPr>
              <w:jc w:val="center"/>
              <w:rPr>
                <w:b/>
                <w:bCs/>
                <w:sz w:val="18"/>
                <w:szCs w:val="18"/>
                <w:lang w:eastAsia="uk-UA"/>
              </w:rPr>
            </w:pPr>
          </w:p>
        </w:tc>
        <w:tc>
          <w:tcPr>
            <w:tcW w:w="596" w:type="dxa"/>
            <w:tcBorders>
              <w:top w:val="single" w:sz="4" w:space="0" w:color="auto"/>
              <w:left w:val="single" w:sz="4" w:space="0" w:color="auto"/>
              <w:bottom w:val="single" w:sz="4" w:space="0" w:color="auto"/>
              <w:right w:val="single" w:sz="4" w:space="0" w:color="000000"/>
            </w:tcBorders>
            <w:vAlign w:val="center"/>
          </w:tcPr>
          <w:p w:rsidR="004A7C6F" w:rsidRDefault="004A7C6F">
            <w:pPr>
              <w:jc w:val="center"/>
              <w:rPr>
                <w:b/>
                <w:bCs/>
                <w:sz w:val="18"/>
                <w:szCs w:val="18"/>
                <w:lang w:eastAsia="uk-UA"/>
              </w:rPr>
            </w:pPr>
          </w:p>
        </w:tc>
        <w:tc>
          <w:tcPr>
            <w:tcW w:w="815" w:type="dxa"/>
            <w:tcBorders>
              <w:top w:val="single" w:sz="4" w:space="0" w:color="auto"/>
              <w:left w:val="nil"/>
              <w:bottom w:val="single" w:sz="4" w:space="0" w:color="auto"/>
              <w:right w:val="single" w:sz="4" w:space="0" w:color="000000"/>
            </w:tcBorders>
            <w:vAlign w:val="center"/>
          </w:tcPr>
          <w:p w:rsidR="004A7C6F" w:rsidRDefault="004A7C6F">
            <w:pPr>
              <w:jc w:val="center"/>
              <w:rPr>
                <w:b/>
                <w:bCs/>
                <w:sz w:val="18"/>
                <w:szCs w:val="18"/>
                <w:lang w:eastAsia="uk-UA"/>
              </w:rPr>
            </w:pPr>
          </w:p>
        </w:tc>
        <w:tc>
          <w:tcPr>
            <w:tcW w:w="516" w:type="dxa"/>
            <w:tcBorders>
              <w:top w:val="nil"/>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16" w:type="dxa"/>
            <w:gridSpan w:val="2"/>
            <w:tcBorders>
              <w:top w:val="single" w:sz="4" w:space="0" w:color="auto"/>
              <w:left w:val="nil"/>
              <w:bottom w:val="single" w:sz="4" w:space="0" w:color="auto"/>
              <w:right w:val="single" w:sz="4" w:space="0" w:color="000000"/>
            </w:tcBorders>
            <w:vAlign w:val="center"/>
          </w:tcPr>
          <w:p w:rsidR="004A7C6F" w:rsidRDefault="004A7C6F">
            <w:pPr>
              <w:jc w:val="center"/>
              <w:rPr>
                <w:b/>
                <w:bCs/>
                <w:sz w:val="18"/>
                <w:szCs w:val="18"/>
                <w:lang w:eastAsia="uk-UA"/>
              </w:rPr>
            </w:pPr>
          </w:p>
        </w:tc>
        <w:tc>
          <w:tcPr>
            <w:tcW w:w="1063" w:type="dxa"/>
            <w:tcBorders>
              <w:top w:val="single" w:sz="4" w:space="0" w:color="auto"/>
              <w:left w:val="nil"/>
              <w:bottom w:val="single" w:sz="4" w:space="0" w:color="auto"/>
              <w:right w:val="nil"/>
            </w:tcBorders>
            <w:vAlign w:val="center"/>
            <w:hideMark/>
          </w:tcPr>
          <w:p w:rsidR="004A7C6F" w:rsidRDefault="004A7C6F">
            <w:pPr>
              <w:jc w:val="center"/>
              <w:rPr>
                <w:b/>
                <w:bCs/>
                <w:sz w:val="18"/>
                <w:szCs w:val="18"/>
                <w:lang w:eastAsia="uk-UA"/>
              </w:rPr>
            </w:pPr>
            <w:r>
              <w:rPr>
                <w:b/>
                <w:bCs/>
                <w:sz w:val="18"/>
                <w:szCs w:val="18"/>
                <w:lang w:eastAsia="uk-UA"/>
              </w:rPr>
              <w:t> </w:t>
            </w:r>
          </w:p>
        </w:tc>
        <w:tc>
          <w:tcPr>
            <w:tcW w:w="821" w:type="dxa"/>
            <w:tcBorders>
              <w:top w:val="single" w:sz="4" w:space="0" w:color="auto"/>
              <w:left w:val="single" w:sz="4" w:space="0" w:color="auto"/>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000000"/>
            </w:tcBorders>
            <w:vAlign w:val="center"/>
            <w:hideMark/>
          </w:tcPr>
          <w:p w:rsidR="004A7C6F" w:rsidRDefault="004A7C6F">
            <w:pPr>
              <w:jc w:val="center"/>
              <w:rPr>
                <w:b/>
                <w:bCs/>
                <w:sz w:val="18"/>
                <w:szCs w:val="18"/>
                <w:lang w:eastAsia="uk-UA"/>
              </w:rPr>
            </w:pPr>
            <w:r>
              <w:rPr>
                <w:b/>
                <w:bCs/>
                <w:sz w:val="18"/>
                <w:szCs w:val="18"/>
                <w:lang w:eastAsia="uk-UA"/>
              </w:rPr>
              <w:t> </w:t>
            </w:r>
          </w:p>
        </w:tc>
        <w:tc>
          <w:tcPr>
            <w:tcW w:w="1773" w:type="dxa"/>
            <w:tcBorders>
              <w:top w:val="nil"/>
              <w:left w:val="nil"/>
              <w:bottom w:val="single" w:sz="4" w:space="0" w:color="auto"/>
              <w:right w:val="single" w:sz="4" w:space="0" w:color="auto"/>
            </w:tcBorders>
            <w:vAlign w:val="center"/>
            <w:hideMark/>
          </w:tcPr>
          <w:p w:rsidR="004A7C6F" w:rsidRDefault="004A7C6F">
            <w:pPr>
              <w:jc w:val="center"/>
              <w:rPr>
                <w:sz w:val="18"/>
                <w:szCs w:val="18"/>
                <w:lang w:eastAsia="uk-UA"/>
              </w:rPr>
            </w:pPr>
            <w:r>
              <w:rPr>
                <w:sz w:val="18"/>
                <w:szCs w:val="18"/>
                <w:lang w:eastAsia="uk-UA"/>
              </w:rPr>
              <w:t> </w:t>
            </w:r>
          </w:p>
        </w:tc>
      </w:tr>
      <w:tr w:rsidR="004A7C6F" w:rsidTr="004A7C6F">
        <w:trPr>
          <w:trHeight w:val="480"/>
        </w:trPr>
        <w:tc>
          <w:tcPr>
            <w:tcW w:w="2128" w:type="dxa"/>
            <w:tcBorders>
              <w:top w:val="single" w:sz="4" w:space="0" w:color="auto"/>
              <w:left w:val="single" w:sz="4" w:space="0" w:color="auto"/>
              <w:bottom w:val="single" w:sz="4" w:space="0" w:color="auto"/>
              <w:right w:val="single" w:sz="4" w:space="0" w:color="auto"/>
            </w:tcBorders>
            <w:vAlign w:val="bottom"/>
            <w:hideMark/>
          </w:tcPr>
          <w:p w:rsidR="004A7C6F" w:rsidRDefault="004A7C6F">
            <w:pPr>
              <w:rPr>
                <w:i/>
                <w:iCs/>
                <w:sz w:val="18"/>
                <w:szCs w:val="18"/>
                <w:lang w:eastAsia="uk-UA"/>
              </w:rPr>
            </w:pPr>
            <w:r>
              <w:rPr>
                <w:i/>
                <w:iCs/>
                <w:sz w:val="18"/>
                <w:szCs w:val="18"/>
                <w:lang w:eastAsia="uk-UA"/>
              </w:rPr>
              <w:t>Малоцінні необоротні матеріальні активи</w:t>
            </w:r>
          </w:p>
        </w:tc>
        <w:tc>
          <w:tcPr>
            <w:tcW w:w="852" w:type="dxa"/>
            <w:tcBorders>
              <w:top w:val="single" w:sz="4" w:space="0" w:color="auto"/>
              <w:left w:val="nil"/>
              <w:bottom w:val="single" w:sz="4" w:space="0" w:color="auto"/>
              <w:right w:val="single" w:sz="4" w:space="0" w:color="auto"/>
            </w:tcBorders>
            <w:vAlign w:val="center"/>
            <w:hideMark/>
          </w:tcPr>
          <w:p w:rsidR="004A7C6F" w:rsidRDefault="004A7C6F">
            <w:pPr>
              <w:jc w:val="center"/>
              <w:rPr>
                <w:sz w:val="18"/>
                <w:szCs w:val="18"/>
                <w:lang w:eastAsia="uk-UA"/>
              </w:rPr>
            </w:pPr>
            <w:r>
              <w:rPr>
                <w:sz w:val="18"/>
                <w:szCs w:val="18"/>
                <w:lang w:eastAsia="uk-UA"/>
              </w:rPr>
              <w:t> </w:t>
            </w:r>
          </w:p>
        </w:tc>
        <w:tc>
          <w:tcPr>
            <w:tcW w:w="856" w:type="dxa"/>
            <w:tcBorders>
              <w:top w:val="single" w:sz="4" w:space="0" w:color="auto"/>
              <w:left w:val="nil"/>
              <w:bottom w:val="single" w:sz="4" w:space="0" w:color="auto"/>
              <w:right w:val="nil"/>
            </w:tcBorders>
            <w:vAlign w:val="center"/>
          </w:tcPr>
          <w:p w:rsidR="004A7C6F" w:rsidRDefault="004A7C6F" w:rsidP="009A1975">
            <w:pPr>
              <w:jc w:val="center"/>
              <w:rPr>
                <w:b/>
                <w:bCs/>
                <w:sz w:val="18"/>
                <w:szCs w:val="18"/>
                <w:lang w:eastAsia="uk-UA"/>
              </w:rPr>
            </w:pPr>
          </w:p>
        </w:tc>
        <w:tc>
          <w:tcPr>
            <w:tcW w:w="516" w:type="dxa"/>
            <w:tcBorders>
              <w:top w:val="single" w:sz="4" w:space="0" w:color="auto"/>
              <w:left w:val="single" w:sz="4" w:space="0" w:color="auto"/>
              <w:bottom w:val="single" w:sz="4" w:space="0" w:color="auto"/>
              <w:right w:val="single" w:sz="4" w:space="0" w:color="auto"/>
            </w:tcBorders>
            <w:vAlign w:val="center"/>
          </w:tcPr>
          <w:p w:rsidR="004A7C6F" w:rsidRDefault="004A7C6F" w:rsidP="009A1975">
            <w:pPr>
              <w:jc w:val="center"/>
              <w:rPr>
                <w:b/>
                <w:bCs/>
                <w:sz w:val="18"/>
                <w:szCs w:val="18"/>
                <w:lang w:eastAsia="uk-UA"/>
              </w:rPr>
            </w:pPr>
          </w:p>
        </w:tc>
        <w:tc>
          <w:tcPr>
            <w:tcW w:w="907" w:type="dxa"/>
            <w:tcBorders>
              <w:top w:val="single" w:sz="4" w:space="0" w:color="auto"/>
              <w:left w:val="single" w:sz="4" w:space="0" w:color="auto"/>
              <w:bottom w:val="single" w:sz="4" w:space="0" w:color="auto"/>
              <w:right w:val="single" w:sz="4" w:space="0" w:color="auto"/>
            </w:tcBorders>
            <w:vAlign w:val="center"/>
          </w:tcPr>
          <w:p w:rsidR="004A7C6F" w:rsidRDefault="004A7C6F">
            <w:pPr>
              <w:jc w:val="center"/>
              <w:rPr>
                <w:b/>
                <w:bCs/>
                <w:sz w:val="18"/>
                <w:szCs w:val="18"/>
                <w:lang w:eastAsia="uk-UA"/>
              </w:rPr>
            </w:pPr>
          </w:p>
        </w:tc>
        <w:tc>
          <w:tcPr>
            <w:tcW w:w="855"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16" w:type="dxa"/>
            <w:tcBorders>
              <w:top w:val="single" w:sz="4" w:space="0" w:color="auto"/>
              <w:left w:val="nil"/>
              <w:bottom w:val="single" w:sz="4" w:space="0" w:color="auto"/>
              <w:right w:val="single" w:sz="4" w:space="0" w:color="000000"/>
            </w:tcBorders>
            <w:vAlign w:val="center"/>
          </w:tcPr>
          <w:p w:rsidR="004A7C6F" w:rsidRDefault="004A7C6F">
            <w:pPr>
              <w:jc w:val="center"/>
              <w:rPr>
                <w:b/>
                <w:bCs/>
                <w:sz w:val="18"/>
                <w:szCs w:val="18"/>
                <w:lang w:eastAsia="uk-UA"/>
              </w:rPr>
            </w:pPr>
          </w:p>
        </w:tc>
        <w:tc>
          <w:tcPr>
            <w:tcW w:w="789"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709"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69"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96"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15"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16" w:type="dxa"/>
            <w:tcBorders>
              <w:top w:val="nil"/>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16" w:type="dxa"/>
            <w:gridSpan w:val="2"/>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1063"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1773" w:type="dxa"/>
            <w:tcBorders>
              <w:top w:val="nil"/>
              <w:left w:val="nil"/>
              <w:bottom w:val="single" w:sz="4" w:space="0" w:color="auto"/>
              <w:right w:val="single" w:sz="4" w:space="0" w:color="auto"/>
            </w:tcBorders>
            <w:vAlign w:val="center"/>
            <w:hideMark/>
          </w:tcPr>
          <w:p w:rsidR="004A7C6F" w:rsidRDefault="004A7C6F">
            <w:pPr>
              <w:jc w:val="center"/>
              <w:rPr>
                <w:sz w:val="18"/>
                <w:szCs w:val="18"/>
                <w:lang w:eastAsia="uk-UA"/>
              </w:rPr>
            </w:pPr>
            <w:r>
              <w:rPr>
                <w:sz w:val="18"/>
                <w:szCs w:val="18"/>
                <w:lang w:eastAsia="uk-UA"/>
              </w:rPr>
              <w:t> </w:t>
            </w:r>
          </w:p>
        </w:tc>
      </w:tr>
      <w:tr w:rsidR="004A7C6F" w:rsidTr="004A7C6F">
        <w:trPr>
          <w:trHeight w:val="240"/>
        </w:trPr>
        <w:tc>
          <w:tcPr>
            <w:tcW w:w="2128"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4A7C6F" w:rsidRDefault="004A7C6F">
            <w:pPr>
              <w:rPr>
                <w:sz w:val="18"/>
                <w:szCs w:val="18"/>
                <w:lang w:eastAsia="uk-UA"/>
              </w:rPr>
            </w:pPr>
            <w:r>
              <w:rPr>
                <w:sz w:val="18"/>
                <w:szCs w:val="18"/>
                <w:lang w:eastAsia="uk-UA"/>
              </w:rPr>
              <w:t>Разом</w:t>
            </w:r>
          </w:p>
        </w:tc>
        <w:tc>
          <w:tcPr>
            <w:tcW w:w="852" w:type="dxa"/>
            <w:tcBorders>
              <w:top w:val="single" w:sz="4" w:space="0" w:color="auto"/>
              <w:left w:val="nil"/>
              <w:bottom w:val="single" w:sz="4" w:space="0" w:color="auto"/>
              <w:right w:val="single" w:sz="4" w:space="0" w:color="auto"/>
            </w:tcBorders>
            <w:shd w:val="clear" w:color="auto" w:fill="C0C0C0"/>
            <w:vAlign w:val="center"/>
            <w:hideMark/>
          </w:tcPr>
          <w:p w:rsidR="004A7C6F" w:rsidRDefault="004A7C6F">
            <w:pPr>
              <w:jc w:val="center"/>
              <w:rPr>
                <w:sz w:val="18"/>
                <w:szCs w:val="18"/>
                <w:lang w:eastAsia="uk-UA"/>
              </w:rPr>
            </w:pPr>
            <w:r>
              <w:rPr>
                <w:sz w:val="18"/>
                <w:szCs w:val="18"/>
                <w:lang w:eastAsia="uk-UA"/>
              </w:rPr>
              <w:t> </w:t>
            </w:r>
          </w:p>
        </w:tc>
        <w:tc>
          <w:tcPr>
            <w:tcW w:w="856" w:type="dxa"/>
            <w:tcBorders>
              <w:top w:val="single" w:sz="4" w:space="0" w:color="auto"/>
              <w:left w:val="nil"/>
              <w:bottom w:val="single" w:sz="4" w:space="0" w:color="auto"/>
              <w:right w:val="single" w:sz="4" w:space="0" w:color="auto"/>
            </w:tcBorders>
            <w:shd w:val="clear" w:color="auto" w:fill="C0C0C0"/>
            <w:vAlign w:val="center"/>
          </w:tcPr>
          <w:p w:rsidR="004A7C6F" w:rsidRDefault="004A7C6F" w:rsidP="009A1975">
            <w:pPr>
              <w:jc w:val="center"/>
              <w:rPr>
                <w:b/>
                <w:bCs/>
                <w:sz w:val="18"/>
                <w:szCs w:val="18"/>
                <w:lang w:eastAsia="uk-UA"/>
              </w:rPr>
            </w:pPr>
            <w:r>
              <w:rPr>
                <w:b/>
                <w:bCs/>
                <w:sz w:val="18"/>
                <w:szCs w:val="18"/>
                <w:lang w:eastAsia="uk-UA"/>
              </w:rPr>
              <w:t>117</w:t>
            </w:r>
          </w:p>
        </w:tc>
        <w:tc>
          <w:tcPr>
            <w:tcW w:w="516" w:type="dxa"/>
            <w:tcBorders>
              <w:top w:val="single" w:sz="4" w:space="0" w:color="auto"/>
              <w:left w:val="nil"/>
              <w:bottom w:val="single" w:sz="4" w:space="0" w:color="auto"/>
              <w:right w:val="single" w:sz="4" w:space="0" w:color="auto"/>
            </w:tcBorders>
            <w:shd w:val="clear" w:color="auto" w:fill="C0C0C0"/>
            <w:vAlign w:val="center"/>
          </w:tcPr>
          <w:p w:rsidR="004A7C6F" w:rsidRPr="001D66D9" w:rsidRDefault="004A7C6F" w:rsidP="009A1975">
            <w:pPr>
              <w:jc w:val="center"/>
              <w:rPr>
                <w:b/>
                <w:bCs/>
                <w:sz w:val="18"/>
                <w:szCs w:val="18"/>
                <w:lang w:val="en-US" w:eastAsia="uk-UA"/>
              </w:rPr>
            </w:pPr>
            <w:r>
              <w:rPr>
                <w:b/>
                <w:bCs/>
                <w:sz w:val="18"/>
                <w:szCs w:val="18"/>
                <w:lang w:eastAsia="uk-UA"/>
              </w:rPr>
              <w:t>8</w:t>
            </w:r>
            <w:r>
              <w:rPr>
                <w:b/>
                <w:bCs/>
                <w:sz w:val="18"/>
                <w:szCs w:val="18"/>
                <w:lang w:val="en-US" w:eastAsia="uk-UA"/>
              </w:rPr>
              <w:t>8</w:t>
            </w:r>
          </w:p>
        </w:tc>
        <w:tc>
          <w:tcPr>
            <w:tcW w:w="907" w:type="dxa"/>
            <w:tcBorders>
              <w:top w:val="single" w:sz="4" w:space="0" w:color="auto"/>
              <w:left w:val="nil"/>
              <w:bottom w:val="single" w:sz="4" w:space="0" w:color="auto"/>
              <w:right w:val="single" w:sz="4" w:space="0" w:color="auto"/>
            </w:tcBorders>
            <w:shd w:val="clear" w:color="auto" w:fill="C0C0C0"/>
            <w:vAlign w:val="center"/>
          </w:tcPr>
          <w:p w:rsidR="004A7C6F" w:rsidRDefault="004A7C6F">
            <w:pPr>
              <w:jc w:val="center"/>
              <w:rPr>
                <w:b/>
                <w:bCs/>
                <w:sz w:val="18"/>
                <w:szCs w:val="18"/>
                <w:lang w:eastAsia="uk-UA"/>
              </w:rPr>
            </w:pPr>
            <w:r>
              <w:rPr>
                <w:b/>
                <w:bCs/>
                <w:sz w:val="18"/>
                <w:szCs w:val="18"/>
                <w:lang w:eastAsia="uk-UA"/>
              </w:rPr>
              <w:t>8</w:t>
            </w:r>
          </w:p>
        </w:tc>
        <w:tc>
          <w:tcPr>
            <w:tcW w:w="855" w:type="dxa"/>
            <w:tcBorders>
              <w:top w:val="single" w:sz="4" w:space="0" w:color="auto"/>
              <w:left w:val="nil"/>
              <w:bottom w:val="single" w:sz="4" w:space="0" w:color="auto"/>
              <w:right w:val="single" w:sz="4" w:space="0" w:color="auto"/>
            </w:tcBorders>
            <w:shd w:val="clear" w:color="auto" w:fill="C0C0C0"/>
            <w:vAlign w:val="center"/>
          </w:tcPr>
          <w:p w:rsidR="004A7C6F" w:rsidRDefault="004A7C6F">
            <w:pPr>
              <w:jc w:val="center"/>
              <w:rPr>
                <w:b/>
                <w:bCs/>
                <w:sz w:val="18"/>
                <w:szCs w:val="18"/>
                <w:lang w:eastAsia="uk-UA"/>
              </w:rPr>
            </w:pPr>
          </w:p>
        </w:tc>
        <w:tc>
          <w:tcPr>
            <w:tcW w:w="516" w:type="dxa"/>
            <w:tcBorders>
              <w:top w:val="single" w:sz="4" w:space="0" w:color="auto"/>
              <w:left w:val="nil"/>
              <w:bottom w:val="single" w:sz="4" w:space="0" w:color="auto"/>
              <w:right w:val="single" w:sz="4" w:space="0" w:color="000000"/>
            </w:tcBorders>
            <w:shd w:val="clear" w:color="auto" w:fill="C0C0C0"/>
            <w:vAlign w:val="center"/>
          </w:tcPr>
          <w:p w:rsidR="004A7C6F" w:rsidRDefault="004A7C6F">
            <w:pPr>
              <w:jc w:val="center"/>
              <w:rPr>
                <w:b/>
                <w:bCs/>
                <w:sz w:val="18"/>
                <w:szCs w:val="18"/>
                <w:lang w:eastAsia="uk-UA"/>
              </w:rPr>
            </w:pPr>
          </w:p>
        </w:tc>
        <w:tc>
          <w:tcPr>
            <w:tcW w:w="789" w:type="dxa"/>
            <w:tcBorders>
              <w:top w:val="single" w:sz="4" w:space="0" w:color="auto"/>
              <w:left w:val="nil"/>
              <w:bottom w:val="single" w:sz="4" w:space="0" w:color="auto"/>
              <w:right w:val="single" w:sz="4" w:space="0" w:color="auto"/>
            </w:tcBorders>
            <w:shd w:val="clear" w:color="auto" w:fill="C0C0C0"/>
            <w:vAlign w:val="center"/>
          </w:tcPr>
          <w:p w:rsidR="004A7C6F" w:rsidRPr="004A7C6F" w:rsidRDefault="004A7C6F">
            <w:pPr>
              <w:jc w:val="center"/>
              <w:rPr>
                <w:b/>
                <w:bCs/>
                <w:sz w:val="18"/>
                <w:szCs w:val="18"/>
                <w:lang w:eastAsia="uk-UA"/>
              </w:rPr>
            </w:pPr>
            <w:r>
              <w:rPr>
                <w:b/>
                <w:bCs/>
                <w:sz w:val="18"/>
                <w:szCs w:val="18"/>
                <w:lang w:eastAsia="uk-UA"/>
              </w:rPr>
              <w:t>10</w:t>
            </w:r>
          </w:p>
        </w:tc>
        <w:tc>
          <w:tcPr>
            <w:tcW w:w="709" w:type="dxa"/>
            <w:tcBorders>
              <w:top w:val="single" w:sz="4" w:space="0" w:color="auto"/>
              <w:left w:val="nil"/>
              <w:bottom w:val="single" w:sz="4" w:space="0" w:color="auto"/>
              <w:right w:val="single" w:sz="4" w:space="0" w:color="auto"/>
            </w:tcBorders>
            <w:shd w:val="clear" w:color="auto" w:fill="C0C0C0"/>
            <w:vAlign w:val="center"/>
          </w:tcPr>
          <w:p w:rsidR="004A7C6F" w:rsidRDefault="004A7C6F">
            <w:pPr>
              <w:jc w:val="center"/>
              <w:rPr>
                <w:b/>
                <w:bCs/>
                <w:sz w:val="18"/>
                <w:szCs w:val="18"/>
                <w:lang w:eastAsia="uk-UA"/>
              </w:rPr>
            </w:pPr>
          </w:p>
        </w:tc>
        <w:tc>
          <w:tcPr>
            <w:tcW w:w="869" w:type="dxa"/>
            <w:tcBorders>
              <w:top w:val="single" w:sz="4" w:space="0" w:color="auto"/>
              <w:left w:val="nil"/>
              <w:bottom w:val="single" w:sz="4" w:space="0" w:color="auto"/>
              <w:right w:val="single" w:sz="4" w:space="0" w:color="auto"/>
            </w:tcBorders>
            <w:shd w:val="clear" w:color="auto" w:fill="C0C0C0"/>
            <w:vAlign w:val="center"/>
          </w:tcPr>
          <w:p w:rsidR="004A7C6F" w:rsidRDefault="004A7C6F">
            <w:pPr>
              <w:jc w:val="center"/>
              <w:rPr>
                <w:b/>
                <w:bCs/>
                <w:sz w:val="18"/>
                <w:szCs w:val="18"/>
                <w:lang w:eastAsia="uk-UA"/>
              </w:rPr>
            </w:pPr>
          </w:p>
        </w:tc>
        <w:tc>
          <w:tcPr>
            <w:tcW w:w="596" w:type="dxa"/>
            <w:tcBorders>
              <w:top w:val="single" w:sz="4" w:space="0" w:color="auto"/>
              <w:left w:val="nil"/>
              <w:bottom w:val="single" w:sz="4" w:space="0" w:color="auto"/>
              <w:right w:val="single" w:sz="4" w:space="0" w:color="auto"/>
            </w:tcBorders>
            <w:shd w:val="clear" w:color="auto" w:fill="C0C0C0"/>
            <w:vAlign w:val="center"/>
          </w:tcPr>
          <w:p w:rsidR="004A7C6F" w:rsidRDefault="004A7C6F">
            <w:pPr>
              <w:jc w:val="center"/>
              <w:rPr>
                <w:b/>
                <w:bCs/>
                <w:sz w:val="18"/>
                <w:szCs w:val="18"/>
                <w:lang w:eastAsia="uk-UA"/>
              </w:rPr>
            </w:pPr>
          </w:p>
        </w:tc>
        <w:tc>
          <w:tcPr>
            <w:tcW w:w="815" w:type="dxa"/>
            <w:tcBorders>
              <w:top w:val="single" w:sz="4" w:space="0" w:color="auto"/>
              <w:left w:val="nil"/>
              <w:bottom w:val="single" w:sz="4" w:space="0" w:color="auto"/>
              <w:right w:val="single" w:sz="4" w:space="0" w:color="auto"/>
            </w:tcBorders>
            <w:shd w:val="clear" w:color="auto" w:fill="C0C0C0"/>
            <w:vAlign w:val="center"/>
          </w:tcPr>
          <w:p w:rsidR="004A7C6F" w:rsidRDefault="004A7C6F">
            <w:pPr>
              <w:jc w:val="center"/>
              <w:rPr>
                <w:b/>
                <w:bCs/>
                <w:sz w:val="18"/>
                <w:szCs w:val="18"/>
                <w:lang w:eastAsia="uk-UA"/>
              </w:rPr>
            </w:pPr>
            <w:r>
              <w:rPr>
                <w:b/>
                <w:bCs/>
                <w:sz w:val="18"/>
                <w:szCs w:val="18"/>
                <w:lang w:eastAsia="uk-UA"/>
              </w:rPr>
              <w:t>125</w:t>
            </w:r>
          </w:p>
        </w:tc>
        <w:tc>
          <w:tcPr>
            <w:tcW w:w="516" w:type="dxa"/>
            <w:tcBorders>
              <w:top w:val="nil"/>
              <w:left w:val="nil"/>
              <w:bottom w:val="single" w:sz="4" w:space="0" w:color="auto"/>
              <w:right w:val="single" w:sz="4" w:space="0" w:color="auto"/>
            </w:tcBorders>
            <w:shd w:val="clear" w:color="auto" w:fill="C0C0C0"/>
            <w:vAlign w:val="center"/>
          </w:tcPr>
          <w:p w:rsidR="004A7C6F" w:rsidRPr="004A7C6F" w:rsidRDefault="004A7C6F">
            <w:pPr>
              <w:jc w:val="center"/>
              <w:rPr>
                <w:b/>
                <w:bCs/>
                <w:sz w:val="18"/>
                <w:szCs w:val="18"/>
                <w:lang w:eastAsia="uk-UA"/>
              </w:rPr>
            </w:pPr>
            <w:r>
              <w:rPr>
                <w:b/>
                <w:bCs/>
                <w:sz w:val="18"/>
                <w:szCs w:val="18"/>
                <w:lang w:eastAsia="uk-UA"/>
              </w:rPr>
              <w:t>98</w:t>
            </w:r>
          </w:p>
        </w:tc>
        <w:tc>
          <w:tcPr>
            <w:tcW w:w="816" w:type="dxa"/>
            <w:gridSpan w:val="2"/>
            <w:tcBorders>
              <w:top w:val="single" w:sz="4" w:space="0" w:color="auto"/>
              <w:left w:val="nil"/>
              <w:bottom w:val="single" w:sz="4" w:space="0" w:color="auto"/>
              <w:right w:val="single" w:sz="4" w:space="0" w:color="auto"/>
            </w:tcBorders>
            <w:shd w:val="clear" w:color="auto" w:fill="C0C0C0"/>
            <w:vAlign w:val="center"/>
            <w:hideMark/>
          </w:tcPr>
          <w:p w:rsidR="004A7C6F" w:rsidRDefault="004A7C6F">
            <w:pPr>
              <w:jc w:val="center"/>
              <w:rPr>
                <w:b/>
                <w:bCs/>
                <w:sz w:val="18"/>
                <w:szCs w:val="18"/>
                <w:lang w:eastAsia="uk-UA"/>
              </w:rPr>
            </w:pPr>
            <w:r>
              <w:rPr>
                <w:b/>
                <w:bCs/>
                <w:sz w:val="18"/>
                <w:szCs w:val="18"/>
                <w:lang w:eastAsia="uk-UA"/>
              </w:rPr>
              <w:t> </w:t>
            </w:r>
          </w:p>
        </w:tc>
        <w:tc>
          <w:tcPr>
            <w:tcW w:w="1063" w:type="dxa"/>
            <w:tcBorders>
              <w:top w:val="single" w:sz="4" w:space="0" w:color="auto"/>
              <w:left w:val="nil"/>
              <w:bottom w:val="single" w:sz="4" w:space="0" w:color="auto"/>
              <w:right w:val="single" w:sz="4" w:space="0" w:color="auto"/>
            </w:tcBorders>
            <w:shd w:val="clear" w:color="auto" w:fill="C0C0C0"/>
            <w:vAlign w:val="center"/>
            <w:hideMark/>
          </w:tcPr>
          <w:p w:rsidR="004A7C6F" w:rsidRDefault="004A7C6F">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auto"/>
            </w:tcBorders>
            <w:shd w:val="clear" w:color="auto" w:fill="C0C0C0"/>
            <w:vAlign w:val="center"/>
            <w:hideMark/>
          </w:tcPr>
          <w:p w:rsidR="004A7C6F" w:rsidRDefault="004A7C6F">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auto"/>
            </w:tcBorders>
            <w:shd w:val="clear" w:color="auto" w:fill="C0C0C0"/>
            <w:vAlign w:val="center"/>
            <w:hideMark/>
          </w:tcPr>
          <w:p w:rsidR="004A7C6F" w:rsidRDefault="004A7C6F">
            <w:pPr>
              <w:jc w:val="center"/>
              <w:rPr>
                <w:b/>
                <w:bCs/>
                <w:sz w:val="18"/>
                <w:szCs w:val="18"/>
                <w:lang w:eastAsia="uk-UA"/>
              </w:rPr>
            </w:pPr>
            <w:r>
              <w:rPr>
                <w:b/>
                <w:bCs/>
                <w:sz w:val="18"/>
                <w:szCs w:val="18"/>
                <w:lang w:eastAsia="uk-UA"/>
              </w:rPr>
              <w:t> </w:t>
            </w:r>
          </w:p>
        </w:tc>
        <w:tc>
          <w:tcPr>
            <w:tcW w:w="1773" w:type="dxa"/>
            <w:tcBorders>
              <w:top w:val="nil"/>
              <w:left w:val="nil"/>
              <w:bottom w:val="single" w:sz="4" w:space="0" w:color="auto"/>
              <w:right w:val="single" w:sz="4" w:space="0" w:color="auto"/>
            </w:tcBorders>
            <w:shd w:val="clear" w:color="auto" w:fill="C0C0C0"/>
            <w:vAlign w:val="center"/>
            <w:hideMark/>
          </w:tcPr>
          <w:p w:rsidR="004A7C6F" w:rsidRDefault="004A7C6F">
            <w:pPr>
              <w:jc w:val="center"/>
              <w:rPr>
                <w:sz w:val="18"/>
                <w:szCs w:val="18"/>
                <w:lang w:eastAsia="uk-UA"/>
              </w:rPr>
            </w:pPr>
            <w:r>
              <w:rPr>
                <w:sz w:val="18"/>
                <w:szCs w:val="18"/>
                <w:lang w:eastAsia="uk-UA"/>
              </w:rPr>
              <w:t> </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vanish/>
          <w:lang w:val="ru-RU"/>
        </w:rPr>
      </w:pPr>
    </w:p>
    <w:tbl>
      <w:tblPr>
        <w:tblW w:w="15915" w:type="dxa"/>
        <w:tblInd w:w="108" w:type="dxa"/>
        <w:tblLayout w:type="fixed"/>
        <w:tblLook w:val="04A0" w:firstRow="1" w:lastRow="0" w:firstColumn="1" w:lastColumn="0" w:noHBand="0" w:noVBand="1"/>
      </w:tblPr>
      <w:tblGrid>
        <w:gridCol w:w="271"/>
        <w:gridCol w:w="271"/>
        <w:gridCol w:w="270"/>
        <w:gridCol w:w="270"/>
        <w:gridCol w:w="269"/>
        <w:gridCol w:w="1098"/>
        <w:gridCol w:w="269"/>
        <w:gridCol w:w="269"/>
        <w:gridCol w:w="236"/>
        <w:gridCol w:w="269"/>
        <w:gridCol w:w="269"/>
        <w:gridCol w:w="269"/>
        <w:gridCol w:w="269"/>
        <w:gridCol w:w="269"/>
        <w:gridCol w:w="269"/>
        <w:gridCol w:w="269"/>
        <w:gridCol w:w="269"/>
        <w:gridCol w:w="269"/>
        <w:gridCol w:w="269"/>
        <w:gridCol w:w="269"/>
        <w:gridCol w:w="269"/>
        <w:gridCol w:w="269"/>
        <w:gridCol w:w="269"/>
        <w:gridCol w:w="269"/>
        <w:gridCol w:w="269"/>
        <w:gridCol w:w="269"/>
        <w:gridCol w:w="236"/>
        <w:gridCol w:w="269"/>
        <w:gridCol w:w="269"/>
        <w:gridCol w:w="236"/>
        <w:gridCol w:w="269"/>
        <w:gridCol w:w="269"/>
        <w:gridCol w:w="269"/>
        <w:gridCol w:w="231"/>
        <w:gridCol w:w="38"/>
        <w:gridCol w:w="269"/>
        <w:gridCol w:w="269"/>
        <w:gridCol w:w="259"/>
        <w:gridCol w:w="250"/>
        <w:gridCol w:w="250"/>
        <w:gridCol w:w="250"/>
        <w:gridCol w:w="250"/>
        <w:gridCol w:w="250"/>
        <w:gridCol w:w="250"/>
        <w:gridCol w:w="250"/>
        <w:gridCol w:w="250"/>
        <w:gridCol w:w="250"/>
        <w:gridCol w:w="165"/>
        <w:gridCol w:w="85"/>
        <w:gridCol w:w="250"/>
        <w:gridCol w:w="250"/>
        <w:gridCol w:w="165"/>
        <w:gridCol w:w="85"/>
        <w:gridCol w:w="250"/>
        <w:gridCol w:w="250"/>
        <w:gridCol w:w="250"/>
        <w:gridCol w:w="250"/>
        <w:gridCol w:w="250"/>
        <w:gridCol w:w="250"/>
        <w:gridCol w:w="250"/>
        <w:gridCol w:w="236"/>
      </w:tblGrid>
      <w:tr w:rsidR="00D120E6" w:rsidTr="00D120E6">
        <w:trPr>
          <w:trHeight w:val="45"/>
        </w:trPr>
        <w:tc>
          <w:tcPr>
            <w:tcW w:w="270" w:type="dxa"/>
            <w:noWrap/>
            <w:vAlign w:val="bottom"/>
            <w:hideMark/>
          </w:tcPr>
          <w:p w:rsidR="00D120E6" w:rsidRDefault="00D120E6">
            <w:pPr>
              <w:jc w:val="left"/>
              <w:rPr>
                <w:rFonts w:ascii="Calibri" w:eastAsia="Calibri" w:hAnsi="Calibri"/>
                <w:sz w:val="20"/>
                <w:szCs w:val="20"/>
                <w:lang w:val="ru-RU"/>
              </w:rPr>
            </w:pPr>
          </w:p>
        </w:tc>
        <w:tc>
          <w:tcPr>
            <w:tcW w:w="270"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1098"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gridSpan w:val="2"/>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59"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gridSpan w:val="2"/>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gridSpan w:val="2"/>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r>
      <w:tr w:rsidR="00D120E6" w:rsidTr="00D120E6">
        <w:trPr>
          <w:gridAfter w:val="9"/>
          <w:wAfter w:w="2071" w:type="dxa"/>
          <w:trHeight w:val="585"/>
        </w:trPr>
        <w:tc>
          <w:tcPr>
            <w:tcW w:w="9840" w:type="dxa"/>
            <w:gridSpan w:val="34"/>
            <w:vAlign w:val="bottom"/>
            <w:hideMark/>
          </w:tcPr>
          <w:p w:rsidR="00D120E6" w:rsidRDefault="00D120E6">
            <w:pPr>
              <w:rPr>
                <w:sz w:val="18"/>
                <w:szCs w:val="18"/>
                <w:lang w:eastAsia="uk-UA"/>
              </w:rPr>
            </w:pPr>
            <w:r>
              <w:rPr>
                <w:sz w:val="18"/>
                <w:szCs w:val="18"/>
                <w:lang w:eastAsia="uk-UA"/>
              </w:rPr>
              <w:t>вартість основних засобів, щодо яких існують передбачені чинним законодавством обмеження права власності</w:t>
            </w:r>
          </w:p>
        </w:tc>
        <w:tc>
          <w:tcPr>
            <w:tcW w:w="3250" w:type="dxa"/>
            <w:gridSpan w:val="14"/>
            <w:tcBorders>
              <w:top w:val="nil"/>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 </w:t>
            </w:r>
          </w:p>
        </w:tc>
        <w:tc>
          <w:tcPr>
            <w:tcW w:w="750" w:type="dxa"/>
            <w:gridSpan w:val="4"/>
            <w:noWrap/>
            <w:vAlign w:val="bottom"/>
            <w:hideMark/>
          </w:tcPr>
          <w:p w:rsidR="00D120E6" w:rsidRDefault="00D120E6">
            <w:pPr>
              <w:jc w:val="left"/>
              <w:rPr>
                <w:rFonts w:ascii="Calibri" w:eastAsia="Calibri" w:hAnsi="Calibri"/>
                <w:sz w:val="20"/>
                <w:szCs w:val="20"/>
                <w:lang w:val="ru-RU"/>
              </w:rPr>
            </w:pPr>
          </w:p>
        </w:tc>
      </w:tr>
      <w:tr w:rsidR="00D120E6" w:rsidTr="00D120E6">
        <w:trPr>
          <w:gridAfter w:val="9"/>
          <w:wAfter w:w="2071" w:type="dxa"/>
          <w:trHeight w:val="285"/>
        </w:trPr>
        <w:tc>
          <w:tcPr>
            <w:tcW w:w="9840" w:type="dxa"/>
            <w:gridSpan w:val="34"/>
            <w:noWrap/>
            <w:vAlign w:val="bottom"/>
            <w:hideMark/>
          </w:tcPr>
          <w:p w:rsidR="00D120E6" w:rsidRDefault="00D120E6">
            <w:pPr>
              <w:rPr>
                <w:sz w:val="18"/>
                <w:szCs w:val="18"/>
                <w:lang w:eastAsia="uk-UA"/>
              </w:rPr>
            </w:pPr>
            <w:r>
              <w:rPr>
                <w:sz w:val="18"/>
                <w:szCs w:val="18"/>
                <w:lang w:eastAsia="uk-UA"/>
              </w:rPr>
              <w:t>вартість оформлених у заставу основних засобів</w:t>
            </w:r>
          </w:p>
        </w:tc>
        <w:tc>
          <w:tcPr>
            <w:tcW w:w="3250" w:type="dxa"/>
            <w:gridSpan w:val="14"/>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 </w:t>
            </w:r>
          </w:p>
        </w:tc>
        <w:tc>
          <w:tcPr>
            <w:tcW w:w="750" w:type="dxa"/>
            <w:gridSpan w:val="4"/>
            <w:noWrap/>
            <w:vAlign w:val="bottom"/>
            <w:hideMark/>
          </w:tcPr>
          <w:p w:rsidR="00D120E6" w:rsidRDefault="00D120E6">
            <w:pPr>
              <w:jc w:val="left"/>
              <w:rPr>
                <w:rFonts w:ascii="Calibri" w:eastAsia="Calibri" w:hAnsi="Calibri"/>
                <w:sz w:val="20"/>
                <w:szCs w:val="20"/>
                <w:lang w:val="ru-RU"/>
              </w:rPr>
            </w:pPr>
          </w:p>
        </w:tc>
      </w:tr>
      <w:tr w:rsidR="00D120E6" w:rsidTr="00D120E6">
        <w:trPr>
          <w:gridAfter w:val="9"/>
          <w:wAfter w:w="2071" w:type="dxa"/>
          <w:trHeight w:val="285"/>
        </w:trPr>
        <w:tc>
          <w:tcPr>
            <w:tcW w:w="9840" w:type="dxa"/>
            <w:gridSpan w:val="34"/>
            <w:noWrap/>
            <w:vAlign w:val="bottom"/>
            <w:hideMark/>
          </w:tcPr>
          <w:p w:rsidR="00D120E6" w:rsidRDefault="00D120E6">
            <w:pPr>
              <w:rPr>
                <w:sz w:val="18"/>
                <w:szCs w:val="18"/>
                <w:lang w:eastAsia="uk-UA"/>
              </w:rPr>
            </w:pPr>
            <w:r>
              <w:rPr>
                <w:sz w:val="18"/>
                <w:szCs w:val="18"/>
                <w:lang w:eastAsia="uk-UA"/>
              </w:rPr>
              <w:t>первісна вартість повністю амортизованих основних засобів</w:t>
            </w:r>
          </w:p>
        </w:tc>
        <w:tc>
          <w:tcPr>
            <w:tcW w:w="3250" w:type="dxa"/>
            <w:gridSpan w:val="14"/>
            <w:tcBorders>
              <w:top w:val="single" w:sz="4" w:space="0" w:color="auto"/>
              <w:left w:val="nil"/>
              <w:bottom w:val="single" w:sz="4" w:space="0" w:color="auto"/>
              <w:right w:val="nil"/>
            </w:tcBorders>
            <w:noWrap/>
            <w:vAlign w:val="bottom"/>
          </w:tcPr>
          <w:p w:rsidR="00D120E6" w:rsidRDefault="004A7C6F" w:rsidP="004A7C6F">
            <w:pPr>
              <w:jc w:val="center"/>
              <w:rPr>
                <w:sz w:val="18"/>
                <w:szCs w:val="18"/>
                <w:lang w:eastAsia="uk-UA"/>
              </w:rPr>
            </w:pPr>
            <w:r>
              <w:rPr>
                <w:sz w:val="18"/>
                <w:szCs w:val="18"/>
                <w:lang w:eastAsia="uk-UA"/>
              </w:rPr>
              <w:t>48</w:t>
            </w:r>
          </w:p>
        </w:tc>
        <w:tc>
          <w:tcPr>
            <w:tcW w:w="750" w:type="dxa"/>
            <w:gridSpan w:val="4"/>
            <w:noWrap/>
            <w:vAlign w:val="bottom"/>
          </w:tcPr>
          <w:p w:rsidR="00D120E6" w:rsidRDefault="00D120E6">
            <w:pPr>
              <w:rPr>
                <w:sz w:val="18"/>
                <w:szCs w:val="18"/>
                <w:lang w:eastAsia="uk-UA"/>
              </w:rPr>
            </w:pPr>
          </w:p>
        </w:tc>
      </w:tr>
      <w:tr w:rsidR="00D120E6" w:rsidTr="00D120E6">
        <w:trPr>
          <w:gridAfter w:val="9"/>
          <w:wAfter w:w="2071" w:type="dxa"/>
          <w:trHeight w:val="285"/>
        </w:trPr>
        <w:tc>
          <w:tcPr>
            <w:tcW w:w="9840" w:type="dxa"/>
            <w:gridSpan w:val="34"/>
            <w:noWrap/>
            <w:vAlign w:val="bottom"/>
            <w:hideMark/>
          </w:tcPr>
          <w:p w:rsidR="00D120E6" w:rsidRDefault="00D120E6">
            <w:pPr>
              <w:rPr>
                <w:sz w:val="18"/>
                <w:szCs w:val="18"/>
                <w:lang w:eastAsia="uk-UA"/>
              </w:rPr>
            </w:pPr>
            <w:r>
              <w:rPr>
                <w:sz w:val="18"/>
                <w:szCs w:val="18"/>
                <w:lang w:eastAsia="uk-UA"/>
              </w:rPr>
              <w:t>вартість основних засобів, призначених для продажу</w:t>
            </w:r>
          </w:p>
        </w:tc>
        <w:tc>
          <w:tcPr>
            <w:tcW w:w="3250" w:type="dxa"/>
            <w:gridSpan w:val="14"/>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 </w:t>
            </w:r>
          </w:p>
        </w:tc>
        <w:tc>
          <w:tcPr>
            <w:tcW w:w="750" w:type="dxa"/>
            <w:gridSpan w:val="4"/>
            <w:noWrap/>
            <w:vAlign w:val="bottom"/>
            <w:hideMark/>
          </w:tcPr>
          <w:p w:rsidR="00D120E6" w:rsidRDefault="00D120E6">
            <w:pPr>
              <w:jc w:val="left"/>
              <w:rPr>
                <w:rFonts w:ascii="Calibri" w:eastAsia="Calibri" w:hAnsi="Calibri"/>
                <w:sz w:val="20"/>
                <w:szCs w:val="20"/>
                <w:lang w:val="ru-RU"/>
              </w:rPr>
            </w:pPr>
          </w:p>
        </w:tc>
      </w:tr>
      <w:tr w:rsidR="00D120E6" w:rsidTr="00D120E6">
        <w:trPr>
          <w:gridAfter w:val="9"/>
          <w:wAfter w:w="2071" w:type="dxa"/>
          <w:trHeight w:val="285"/>
        </w:trPr>
        <w:tc>
          <w:tcPr>
            <w:tcW w:w="9840" w:type="dxa"/>
            <w:gridSpan w:val="34"/>
            <w:noWrap/>
            <w:vAlign w:val="bottom"/>
            <w:hideMark/>
          </w:tcPr>
          <w:p w:rsidR="00D120E6" w:rsidRDefault="00D120E6">
            <w:pPr>
              <w:rPr>
                <w:sz w:val="18"/>
                <w:szCs w:val="18"/>
                <w:lang w:eastAsia="uk-UA"/>
              </w:rPr>
            </w:pPr>
            <w:r>
              <w:rPr>
                <w:sz w:val="18"/>
                <w:szCs w:val="18"/>
                <w:lang w:eastAsia="uk-UA"/>
              </w:rPr>
              <w:t>залишкова вартість основних засобів, утрачених унаслідок надзвичайних подій</w:t>
            </w:r>
          </w:p>
        </w:tc>
        <w:tc>
          <w:tcPr>
            <w:tcW w:w="3250" w:type="dxa"/>
            <w:gridSpan w:val="14"/>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 </w:t>
            </w:r>
          </w:p>
        </w:tc>
        <w:tc>
          <w:tcPr>
            <w:tcW w:w="750" w:type="dxa"/>
            <w:gridSpan w:val="4"/>
            <w:noWrap/>
            <w:vAlign w:val="bottom"/>
            <w:hideMark/>
          </w:tcPr>
          <w:p w:rsidR="00D120E6" w:rsidRDefault="00D120E6">
            <w:pPr>
              <w:jc w:val="left"/>
              <w:rPr>
                <w:rFonts w:ascii="Calibri" w:eastAsia="Calibri" w:hAnsi="Calibri"/>
                <w:sz w:val="20"/>
                <w:szCs w:val="20"/>
                <w:lang w:val="ru-RU"/>
              </w:rPr>
            </w:pPr>
          </w:p>
        </w:tc>
      </w:tr>
      <w:tr w:rsidR="00D120E6" w:rsidTr="00D120E6">
        <w:trPr>
          <w:gridAfter w:val="9"/>
          <w:wAfter w:w="2071" w:type="dxa"/>
          <w:trHeight w:val="285"/>
        </w:trPr>
        <w:tc>
          <w:tcPr>
            <w:tcW w:w="9840" w:type="dxa"/>
            <w:gridSpan w:val="34"/>
            <w:noWrap/>
            <w:vAlign w:val="bottom"/>
            <w:hideMark/>
          </w:tcPr>
          <w:p w:rsidR="00D120E6" w:rsidRDefault="00D120E6">
            <w:pPr>
              <w:rPr>
                <w:sz w:val="18"/>
                <w:szCs w:val="18"/>
                <w:lang w:eastAsia="uk-UA"/>
              </w:rPr>
            </w:pPr>
            <w:r>
              <w:rPr>
                <w:sz w:val="18"/>
                <w:szCs w:val="18"/>
                <w:lang w:eastAsia="uk-UA"/>
              </w:rPr>
              <w:t>вартість основних засобів, що взяті в операційну оренду</w:t>
            </w:r>
          </w:p>
        </w:tc>
        <w:tc>
          <w:tcPr>
            <w:tcW w:w="3250" w:type="dxa"/>
            <w:gridSpan w:val="14"/>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w:t>
            </w:r>
          </w:p>
        </w:tc>
        <w:tc>
          <w:tcPr>
            <w:tcW w:w="750" w:type="dxa"/>
            <w:gridSpan w:val="4"/>
            <w:noWrap/>
            <w:vAlign w:val="bottom"/>
            <w:hideMark/>
          </w:tcPr>
          <w:p w:rsidR="00D120E6" w:rsidRDefault="00D120E6">
            <w:pPr>
              <w:jc w:val="left"/>
              <w:rPr>
                <w:rFonts w:ascii="Calibri" w:eastAsia="Calibri" w:hAnsi="Calibri"/>
                <w:sz w:val="20"/>
                <w:szCs w:val="20"/>
                <w:lang w:val="ru-RU"/>
              </w:rPr>
            </w:pP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sectPr w:rsidR="00D120E6">
          <w:pgSz w:w="16838" w:h="11906" w:orient="landscape"/>
          <w:pgMar w:top="1134" w:right="851" w:bottom="851" w:left="851" w:header="709" w:footer="709" w:gutter="0"/>
          <w:cols w:space="720"/>
        </w:sectPr>
      </w:pPr>
    </w:p>
    <w:p w:rsidR="00D120E6" w:rsidRPr="005A0096" w:rsidRDefault="0053603F" w:rsidP="005A0096">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lastRenderedPageBreak/>
        <w:t>П</w:t>
      </w:r>
      <w:r w:rsidR="004A7C6F">
        <w:t>римітка 4</w:t>
      </w:r>
      <w:r w:rsidR="005A0096">
        <w:t xml:space="preserve">.2 </w:t>
      </w:r>
      <w:r w:rsidR="00D120E6">
        <w:t>Довгострокові фінансові інвестиції: які обліковуються за методом участі в капіталі інших підприємств (рядок 1035)</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Кредитна спілка не має довгострокових фінансових інвестицій, кредитна спілка не є членом ОКС</w:t>
      </w:r>
    </w:p>
    <w:p w:rsidR="00D120E6" w:rsidRDefault="004A7C6F" w:rsidP="005A0096">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Примітка 4</w:t>
      </w:r>
      <w:r w:rsidR="005A0096">
        <w:t xml:space="preserve">.3 </w:t>
      </w:r>
      <w:r w:rsidR="00D120E6">
        <w:t xml:space="preserve"> Довгострокова дебіторська заборгованість (рядок 1040)</w:t>
      </w:r>
    </w:p>
    <w:p w:rsidR="00D120E6" w:rsidRPr="00012823"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 складі довгострокової дебіторської заборгованості відображено частину кредитного портфеля кредитної спілки за фактичним терміном погашення пізніше ніж 31.12.2016 року. Довгострокова дебіторська заборгованість відображена за аморти</w:t>
      </w:r>
      <w:r w:rsidR="00012823">
        <w:t xml:space="preserve">зованою </w:t>
      </w:r>
      <w:r w:rsidR="00887724">
        <w:t xml:space="preserve">собівартістю в сумі  </w:t>
      </w:r>
      <w:r w:rsidR="00887724" w:rsidRPr="001C78AD">
        <w:t>1208</w:t>
      </w:r>
      <w:r w:rsidR="00012823" w:rsidRPr="00887724">
        <w:t xml:space="preserve"> тис. </w:t>
      </w:r>
      <w:r w:rsidR="001C78AD">
        <w:t>грн.</w:t>
      </w:r>
      <w:r w:rsidRPr="00887724">
        <w:t xml:space="preserve">, тобто </w:t>
      </w:r>
      <w:r w:rsidR="001C78AD">
        <w:t xml:space="preserve">довгострокова дебіторська заборгованість в сумі 1464 тис. грн. за мінусом </w:t>
      </w:r>
      <w:r>
        <w:t>фактично сформованого резерву покриття втрат від неповернених позичок на таку довгостр</w:t>
      </w:r>
      <w:r w:rsidR="00012823">
        <w:t>окову з</w:t>
      </w:r>
      <w:r w:rsidR="00887724">
        <w:t xml:space="preserve">аборгованість у сумі </w:t>
      </w:r>
      <w:r w:rsidR="00887724" w:rsidRPr="001C78AD">
        <w:t>256</w:t>
      </w:r>
      <w:r w:rsidR="00012823">
        <w:t xml:space="preserve"> тис. грн. </w:t>
      </w:r>
      <w:r w:rsidR="001C78AD">
        <w:t>До довгострокової дебіторської заборгованості віднесено кредити, надані членам кредитної спілки на строк більше двох років.</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Pr="00012823" w:rsidRDefault="004A7C6F" w:rsidP="00E472A7">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Примітка 4</w:t>
      </w:r>
      <w:r w:rsidR="00012823">
        <w:t xml:space="preserve">.4 </w:t>
      </w:r>
      <w:r w:rsidR="00D120E6">
        <w:t>Інші необоротні активи (рядок 1090)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Кредитна спілка не має інших необоротних активів</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4A7C6F" w:rsidP="00E472A7">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Примітка 4</w:t>
      </w:r>
      <w:r w:rsidR="00012823">
        <w:t xml:space="preserve">.5 </w:t>
      </w:r>
      <w:r w:rsidR="00D120E6">
        <w:t>Інша поточна дебіторська заборгованість (рядок 1155)</w:t>
      </w:r>
    </w:p>
    <w:tbl>
      <w:tblPr>
        <w:tblW w:w="6363" w:type="dxa"/>
        <w:tblInd w:w="103" w:type="dxa"/>
        <w:tblLook w:val="04A0" w:firstRow="1" w:lastRow="0" w:firstColumn="1" w:lastColumn="0" w:noHBand="0" w:noVBand="1"/>
      </w:tblPr>
      <w:tblGrid>
        <w:gridCol w:w="4683"/>
        <w:gridCol w:w="1680"/>
      </w:tblGrid>
      <w:tr w:rsidR="00D120E6" w:rsidTr="00D120E6">
        <w:trPr>
          <w:trHeight w:val="555"/>
        </w:trPr>
        <w:tc>
          <w:tcPr>
            <w:tcW w:w="468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Найменування показника </w:t>
            </w:r>
          </w:p>
        </w:tc>
        <w:tc>
          <w:tcPr>
            <w:tcW w:w="1680" w:type="dxa"/>
            <w:vMerge w:val="restart"/>
            <w:tcBorders>
              <w:top w:val="single" w:sz="4" w:space="0" w:color="auto"/>
              <w:left w:val="nil"/>
              <w:bottom w:val="single" w:sz="4" w:space="0" w:color="000000"/>
              <w:right w:val="single" w:sz="4" w:space="0" w:color="000000"/>
            </w:tcBorders>
            <w:shd w:val="clear" w:color="auto" w:fill="C0C0C0"/>
            <w:vAlign w:val="center"/>
            <w:hideMark/>
          </w:tcPr>
          <w:p w:rsidR="00D120E6" w:rsidRDefault="00D120E6">
            <w:pPr>
              <w:jc w:val="center"/>
              <w:rPr>
                <w:sz w:val="16"/>
                <w:szCs w:val="16"/>
                <w:lang w:eastAsia="uk-UA"/>
              </w:rPr>
            </w:pPr>
            <w:r>
              <w:rPr>
                <w:sz w:val="16"/>
                <w:szCs w:val="16"/>
                <w:lang w:eastAsia="uk-UA"/>
              </w:rPr>
              <w:t>На кінець року </w:t>
            </w:r>
          </w:p>
        </w:tc>
      </w:tr>
      <w:tr w:rsidR="00D120E6" w:rsidTr="00D120E6">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0" w:type="auto"/>
            <w:vMerge/>
            <w:tcBorders>
              <w:top w:val="single" w:sz="4" w:space="0" w:color="auto"/>
              <w:left w:val="nil"/>
              <w:bottom w:val="single" w:sz="4" w:space="0" w:color="000000"/>
              <w:right w:val="single" w:sz="4" w:space="0" w:color="000000"/>
            </w:tcBorders>
            <w:vAlign w:val="center"/>
            <w:hideMark/>
          </w:tcPr>
          <w:p w:rsidR="00D120E6" w:rsidRDefault="00D120E6">
            <w:pPr>
              <w:jc w:val="left"/>
              <w:rPr>
                <w:sz w:val="16"/>
                <w:szCs w:val="16"/>
                <w:lang w:eastAsia="uk-UA"/>
              </w:rPr>
            </w:pPr>
          </w:p>
        </w:tc>
      </w:tr>
      <w:tr w:rsidR="00D120E6" w:rsidTr="00D120E6">
        <w:trPr>
          <w:trHeight w:val="555"/>
        </w:trPr>
        <w:tc>
          <w:tcPr>
            <w:tcW w:w="4683"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Залишок основної суми за кредитами</w:t>
            </w:r>
          </w:p>
        </w:tc>
        <w:tc>
          <w:tcPr>
            <w:tcW w:w="1680" w:type="dxa"/>
            <w:tcBorders>
              <w:top w:val="single" w:sz="4" w:space="0" w:color="auto"/>
              <w:left w:val="nil"/>
              <w:bottom w:val="single" w:sz="4" w:space="0" w:color="auto"/>
              <w:right w:val="single" w:sz="4" w:space="0" w:color="000000"/>
            </w:tcBorders>
            <w:vAlign w:val="center"/>
          </w:tcPr>
          <w:p w:rsidR="00D120E6" w:rsidRPr="00887724" w:rsidRDefault="00887724">
            <w:pPr>
              <w:jc w:val="center"/>
              <w:rPr>
                <w:b/>
                <w:bCs/>
                <w:sz w:val="18"/>
                <w:szCs w:val="18"/>
                <w:highlight w:val="yellow"/>
                <w:lang w:val="en-US" w:eastAsia="uk-UA"/>
              </w:rPr>
            </w:pPr>
            <w:r>
              <w:rPr>
                <w:b/>
                <w:bCs/>
                <w:sz w:val="18"/>
                <w:szCs w:val="18"/>
                <w:lang w:val="en-US" w:eastAsia="uk-UA"/>
              </w:rPr>
              <w:t>4416</w:t>
            </w:r>
          </w:p>
        </w:tc>
      </w:tr>
      <w:tr w:rsidR="00D120E6" w:rsidTr="00D120E6">
        <w:trPr>
          <w:trHeight w:val="750"/>
        </w:trPr>
        <w:tc>
          <w:tcPr>
            <w:tcW w:w="4683"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Сума фактично сформованого резерву покриття втрат від неповернених позичок</w:t>
            </w:r>
          </w:p>
        </w:tc>
        <w:tc>
          <w:tcPr>
            <w:tcW w:w="1680" w:type="dxa"/>
            <w:tcBorders>
              <w:top w:val="single" w:sz="4" w:space="0" w:color="auto"/>
              <w:left w:val="nil"/>
              <w:bottom w:val="single" w:sz="4" w:space="0" w:color="auto"/>
              <w:right w:val="single" w:sz="4" w:space="0" w:color="000000"/>
            </w:tcBorders>
            <w:shd w:val="clear" w:color="auto" w:fill="FFFFFF"/>
            <w:vAlign w:val="center"/>
          </w:tcPr>
          <w:p w:rsidR="00D120E6" w:rsidRPr="004A7C6F" w:rsidRDefault="00887999">
            <w:pPr>
              <w:jc w:val="center"/>
              <w:rPr>
                <w:i/>
                <w:iCs/>
                <w:sz w:val="20"/>
                <w:szCs w:val="20"/>
                <w:highlight w:val="yellow"/>
                <w:lang w:eastAsia="uk-UA"/>
              </w:rPr>
            </w:pPr>
            <w:r w:rsidRPr="00887724">
              <w:rPr>
                <w:i/>
                <w:iCs/>
                <w:sz w:val="20"/>
                <w:szCs w:val="20"/>
                <w:lang w:eastAsia="uk-UA"/>
              </w:rPr>
              <w:t>(</w:t>
            </w:r>
            <w:r w:rsidR="00887724">
              <w:rPr>
                <w:i/>
                <w:iCs/>
                <w:sz w:val="20"/>
                <w:szCs w:val="20"/>
                <w:lang w:eastAsia="uk-UA"/>
              </w:rPr>
              <w:t>1</w:t>
            </w:r>
            <w:r w:rsidR="00887724">
              <w:rPr>
                <w:i/>
                <w:iCs/>
                <w:sz w:val="20"/>
                <w:szCs w:val="20"/>
                <w:lang w:val="en-US" w:eastAsia="uk-UA"/>
              </w:rPr>
              <w:t>034</w:t>
            </w:r>
            <w:r w:rsidRPr="00887724">
              <w:rPr>
                <w:i/>
                <w:iCs/>
                <w:sz w:val="20"/>
                <w:szCs w:val="20"/>
                <w:lang w:eastAsia="uk-UA"/>
              </w:rPr>
              <w:t>)</w:t>
            </w:r>
          </w:p>
        </w:tc>
      </w:tr>
      <w:tr w:rsidR="00D120E6" w:rsidTr="00D120E6">
        <w:trPr>
          <w:trHeight w:val="720"/>
        </w:trPr>
        <w:tc>
          <w:tcPr>
            <w:tcW w:w="4683"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Залишок нарахованих, але несплачених процентів за кредитами</w:t>
            </w:r>
          </w:p>
        </w:tc>
        <w:tc>
          <w:tcPr>
            <w:tcW w:w="1680" w:type="dxa"/>
            <w:tcBorders>
              <w:top w:val="single" w:sz="4" w:space="0" w:color="auto"/>
              <w:left w:val="nil"/>
              <w:bottom w:val="single" w:sz="4" w:space="0" w:color="auto"/>
              <w:right w:val="single" w:sz="4" w:space="0" w:color="000000"/>
            </w:tcBorders>
            <w:vAlign w:val="center"/>
          </w:tcPr>
          <w:p w:rsidR="00D120E6" w:rsidRDefault="004A7C6F">
            <w:pPr>
              <w:jc w:val="center"/>
              <w:rPr>
                <w:sz w:val="18"/>
                <w:szCs w:val="18"/>
                <w:lang w:eastAsia="uk-UA"/>
              </w:rPr>
            </w:pPr>
            <w:r>
              <w:rPr>
                <w:sz w:val="18"/>
                <w:szCs w:val="18"/>
                <w:lang w:eastAsia="uk-UA"/>
              </w:rPr>
              <w:t>985</w:t>
            </w:r>
          </w:p>
        </w:tc>
      </w:tr>
      <w:tr w:rsidR="00D120E6" w:rsidTr="00D120E6">
        <w:trPr>
          <w:trHeight w:val="705"/>
        </w:trPr>
        <w:tc>
          <w:tcPr>
            <w:tcW w:w="4683"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Сума фактично сформованого РЗПВ на нараховані проценти</w:t>
            </w:r>
          </w:p>
        </w:tc>
        <w:tc>
          <w:tcPr>
            <w:tcW w:w="1680" w:type="dxa"/>
            <w:tcBorders>
              <w:top w:val="single" w:sz="4" w:space="0" w:color="auto"/>
              <w:left w:val="nil"/>
              <w:bottom w:val="single" w:sz="4" w:space="0" w:color="auto"/>
              <w:right w:val="single" w:sz="4" w:space="0" w:color="000000"/>
            </w:tcBorders>
            <w:shd w:val="clear" w:color="auto" w:fill="FFFFFF"/>
            <w:vAlign w:val="center"/>
          </w:tcPr>
          <w:p w:rsidR="00D120E6" w:rsidRDefault="00887999">
            <w:pPr>
              <w:jc w:val="center"/>
              <w:rPr>
                <w:i/>
                <w:iCs/>
                <w:sz w:val="20"/>
                <w:szCs w:val="20"/>
                <w:lang w:eastAsia="uk-UA"/>
              </w:rPr>
            </w:pPr>
            <w:r>
              <w:rPr>
                <w:i/>
                <w:iCs/>
                <w:sz w:val="20"/>
                <w:szCs w:val="20"/>
                <w:lang w:eastAsia="uk-UA"/>
              </w:rPr>
              <w:t>(</w:t>
            </w:r>
            <w:r w:rsidR="004A7C6F">
              <w:rPr>
                <w:i/>
                <w:iCs/>
                <w:sz w:val="20"/>
                <w:szCs w:val="20"/>
                <w:lang w:eastAsia="uk-UA"/>
              </w:rPr>
              <w:t>106</w:t>
            </w:r>
            <w:r>
              <w:rPr>
                <w:i/>
                <w:iCs/>
                <w:sz w:val="20"/>
                <w:szCs w:val="20"/>
                <w:lang w:eastAsia="uk-UA"/>
              </w:rPr>
              <w:t>)</w:t>
            </w:r>
          </w:p>
        </w:tc>
      </w:tr>
      <w:tr w:rsidR="00D120E6" w:rsidTr="00D120E6">
        <w:trPr>
          <w:trHeight w:val="750"/>
        </w:trPr>
        <w:tc>
          <w:tcPr>
            <w:tcW w:w="4683"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Сума заборгованості позичальників за держмитом та іншими судовими витратами</w:t>
            </w:r>
          </w:p>
        </w:tc>
        <w:tc>
          <w:tcPr>
            <w:tcW w:w="1680" w:type="dxa"/>
            <w:tcBorders>
              <w:top w:val="single" w:sz="4" w:space="0" w:color="auto"/>
              <w:left w:val="nil"/>
              <w:bottom w:val="single" w:sz="4" w:space="0" w:color="auto"/>
              <w:right w:val="single" w:sz="4" w:space="0" w:color="000000"/>
            </w:tcBorders>
            <w:vAlign w:val="center"/>
          </w:tcPr>
          <w:p w:rsidR="00D120E6" w:rsidRDefault="004A7C6F">
            <w:pPr>
              <w:jc w:val="center"/>
              <w:rPr>
                <w:b/>
                <w:bCs/>
                <w:sz w:val="18"/>
                <w:szCs w:val="18"/>
                <w:lang w:eastAsia="uk-UA"/>
              </w:rPr>
            </w:pPr>
            <w:r>
              <w:rPr>
                <w:b/>
                <w:bCs/>
                <w:sz w:val="18"/>
                <w:szCs w:val="18"/>
                <w:lang w:eastAsia="uk-UA"/>
              </w:rPr>
              <w:t>5</w:t>
            </w:r>
            <w:r w:rsidR="00FB119A">
              <w:rPr>
                <w:b/>
                <w:bCs/>
                <w:sz w:val="18"/>
                <w:szCs w:val="18"/>
                <w:lang w:eastAsia="uk-UA"/>
              </w:rPr>
              <w:t>9</w:t>
            </w:r>
          </w:p>
        </w:tc>
      </w:tr>
      <w:tr w:rsidR="00D120E6" w:rsidTr="00D120E6">
        <w:trPr>
          <w:trHeight w:val="555"/>
        </w:trPr>
        <w:tc>
          <w:tcPr>
            <w:tcW w:w="4683"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Інша поточна дебіторська заборгованість</w:t>
            </w:r>
          </w:p>
        </w:tc>
        <w:tc>
          <w:tcPr>
            <w:tcW w:w="1680" w:type="dxa"/>
            <w:tcBorders>
              <w:top w:val="single" w:sz="4" w:space="0" w:color="auto"/>
              <w:left w:val="nil"/>
              <w:bottom w:val="single" w:sz="4" w:space="0" w:color="auto"/>
              <w:right w:val="single" w:sz="4" w:space="0" w:color="000000"/>
            </w:tcBorders>
            <w:vAlign w:val="center"/>
          </w:tcPr>
          <w:p w:rsidR="00D120E6" w:rsidRDefault="00D120E6">
            <w:pPr>
              <w:jc w:val="center"/>
              <w:rPr>
                <w:b/>
                <w:bCs/>
                <w:sz w:val="18"/>
                <w:szCs w:val="18"/>
                <w:lang w:eastAsia="uk-UA"/>
              </w:rPr>
            </w:pPr>
          </w:p>
        </w:tc>
      </w:tr>
      <w:tr w:rsidR="00D120E6" w:rsidTr="00D120E6">
        <w:trPr>
          <w:trHeight w:val="375"/>
        </w:trPr>
        <w:tc>
          <w:tcPr>
            <w:tcW w:w="4683"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Разом </w:t>
            </w:r>
          </w:p>
        </w:tc>
        <w:tc>
          <w:tcPr>
            <w:tcW w:w="1680" w:type="dxa"/>
            <w:tcBorders>
              <w:top w:val="single" w:sz="4" w:space="0" w:color="auto"/>
              <w:left w:val="nil"/>
              <w:bottom w:val="single" w:sz="4" w:space="0" w:color="auto"/>
              <w:right w:val="single" w:sz="4" w:space="0" w:color="000000"/>
            </w:tcBorders>
            <w:vAlign w:val="center"/>
          </w:tcPr>
          <w:p w:rsidR="00D120E6" w:rsidRPr="00887724" w:rsidRDefault="00887724">
            <w:pPr>
              <w:jc w:val="center"/>
              <w:rPr>
                <w:b/>
                <w:bCs/>
                <w:sz w:val="18"/>
                <w:szCs w:val="18"/>
                <w:lang w:val="en-US" w:eastAsia="uk-UA"/>
              </w:rPr>
            </w:pPr>
            <w:r>
              <w:rPr>
                <w:b/>
                <w:bCs/>
                <w:sz w:val="18"/>
                <w:szCs w:val="18"/>
                <w:lang w:val="en-US" w:eastAsia="uk-UA"/>
              </w:rPr>
              <w:t>4320</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B119A" w:rsidRPr="00FB119A" w:rsidRDefault="004A7C6F" w:rsidP="00E472A7">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Примітка 4</w:t>
      </w:r>
      <w:r w:rsidR="00FB119A">
        <w:t xml:space="preserve">.6 </w:t>
      </w:r>
      <w:r w:rsidR="00D120E6">
        <w:t xml:space="preserve"> Поточні фінансові інвестиції (рядок 1160)</w:t>
      </w:r>
    </w:p>
    <w:p w:rsidR="00FB119A" w:rsidRPr="00FB119A" w:rsidRDefault="00FB119A" w:rsidP="00FB119A">
      <w:r>
        <w:t>Кредитна спілка не має поточних фінансових інвестицій.</w:t>
      </w:r>
    </w:p>
    <w:p w:rsidR="00FB119A" w:rsidRPr="00FB119A" w:rsidRDefault="00FB119A" w:rsidP="00FB119A"/>
    <w:p w:rsidR="003365F7" w:rsidRPr="003365F7" w:rsidRDefault="004A7C6F" w:rsidP="00E472A7">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Примітка 4</w:t>
      </w:r>
      <w:r w:rsidR="007752AD">
        <w:t xml:space="preserve">.7 </w:t>
      </w:r>
      <w:r w:rsidR="00D120E6">
        <w:t xml:space="preserve"> Гроші та їх еквіваленти (рядок 1165)</w:t>
      </w:r>
    </w:p>
    <w:p w:rsidR="007752AD"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Складові статті Гроші та їх еквіваленти, відображеної у рядку 1165, наведено у таблиці нижче:</w:t>
      </w:r>
    </w:p>
    <w:tbl>
      <w:tblPr>
        <w:tblW w:w="4480" w:type="dxa"/>
        <w:tblInd w:w="103" w:type="dxa"/>
        <w:tblLook w:val="04A0" w:firstRow="1" w:lastRow="0" w:firstColumn="1" w:lastColumn="0" w:noHBand="0" w:noVBand="1"/>
      </w:tblPr>
      <w:tblGrid>
        <w:gridCol w:w="2880"/>
        <w:gridCol w:w="1600"/>
      </w:tblGrid>
      <w:tr w:rsidR="00D120E6" w:rsidTr="00D120E6">
        <w:trPr>
          <w:trHeight w:val="315"/>
        </w:trPr>
        <w:tc>
          <w:tcPr>
            <w:tcW w:w="2880" w:type="dxa"/>
            <w:vMerge w:val="restart"/>
            <w:tcBorders>
              <w:top w:val="single" w:sz="4" w:space="0" w:color="auto"/>
              <w:left w:val="single" w:sz="4" w:space="0" w:color="auto"/>
              <w:bottom w:val="single" w:sz="4" w:space="0" w:color="000000"/>
              <w:right w:val="nil"/>
            </w:tcBorders>
            <w:shd w:val="clear" w:color="auto" w:fill="C0C0C0"/>
            <w:vAlign w:val="center"/>
            <w:hideMark/>
          </w:tcPr>
          <w:p w:rsidR="00D120E6" w:rsidRDefault="00D120E6">
            <w:pPr>
              <w:jc w:val="center"/>
              <w:rPr>
                <w:sz w:val="18"/>
                <w:szCs w:val="18"/>
              </w:rPr>
            </w:pPr>
            <w:r>
              <w:rPr>
                <w:sz w:val="18"/>
                <w:szCs w:val="18"/>
              </w:rPr>
              <w:t>Найменування показника </w:t>
            </w:r>
          </w:p>
        </w:tc>
        <w:tc>
          <w:tcPr>
            <w:tcW w:w="1600" w:type="dxa"/>
            <w:vMerge w:val="restart"/>
            <w:tcBorders>
              <w:top w:val="single" w:sz="4" w:space="0" w:color="auto"/>
              <w:left w:val="nil"/>
              <w:bottom w:val="single" w:sz="4" w:space="0" w:color="000000"/>
              <w:right w:val="single" w:sz="4" w:space="0" w:color="000000"/>
            </w:tcBorders>
            <w:shd w:val="clear" w:color="auto" w:fill="C0C0C0"/>
            <w:vAlign w:val="center"/>
            <w:hideMark/>
          </w:tcPr>
          <w:p w:rsidR="00D120E6" w:rsidRDefault="00D120E6">
            <w:pPr>
              <w:jc w:val="center"/>
              <w:rPr>
                <w:sz w:val="18"/>
                <w:szCs w:val="18"/>
              </w:rPr>
            </w:pPr>
            <w:r>
              <w:rPr>
                <w:sz w:val="18"/>
                <w:szCs w:val="18"/>
              </w:rPr>
              <w:t>На кінець року </w:t>
            </w:r>
          </w:p>
        </w:tc>
      </w:tr>
      <w:tr w:rsidR="00D120E6" w:rsidTr="00D120E6">
        <w:trPr>
          <w:trHeight w:val="255"/>
        </w:trPr>
        <w:tc>
          <w:tcPr>
            <w:tcW w:w="0" w:type="auto"/>
            <w:vMerge/>
            <w:tcBorders>
              <w:top w:val="single" w:sz="4" w:space="0" w:color="auto"/>
              <w:left w:val="single" w:sz="4" w:space="0" w:color="auto"/>
              <w:bottom w:val="single" w:sz="4" w:space="0" w:color="000000"/>
              <w:right w:val="nil"/>
            </w:tcBorders>
            <w:vAlign w:val="center"/>
            <w:hideMark/>
          </w:tcPr>
          <w:p w:rsidR="00D120E6" w:rsidRDefault="00D120E6">
            <w:pPr>
              <w:jc w:val="left"/>
              <w:rPr>
                <w:sz w:val="18"/>
                <w:szCs w:val="18"/>
              </w:rPr>
            </w:pPr>
          </w:p>
        </w:tc>
        <w:tc>
          <w:tcPr>
            <w:tcW w:w="0" w:type="auto"/>
            <w:vMerge/>
            <w:tcBorders>
              <w:top w:val="single" w:sz="4" w:space="0" w:color="auto"/>
              <w:left w:val="nil"/>
              <w:bottom w:val="single" w:sz="4" w:space="0" w:color="000000"/>
              <w:right w:val="single" w:sz="4" w:space="0" w:color="000000"/>
            </w:tcBorders>
            <w:vAlign w:val="center"/>
            <w:hideMark/>
          </w:tcPr>
          <w:p w:rsidR="00D120E6" w:rsidRDefault="00D120E6">
            <w:pPr>
              <w:jc w:val="left"/>
              <w:rPr>
                <w:sz w:val="18"/>
                <w:szCs w:val="18"/>
              </w:rPr>
            </w:pPr>
          </w:p>
        </w:tc>
      </w:tr>
      <w:tr w:rsidR="00D120E6" w:rsidTr="00D120E6">
        <w:trPr>
          <w:trHeight w:val="315"/>
        </w:trPr>
        <w:tc>
          <w:tcPr>
            <w:tcW w:w="2880"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center"/>
              <w:rPr>
                <w:sz w:val="18"/>
                <w:szCs w:val="18"/>
              </w:rPr>
            </w:pPr>
            <w:r>
              <w:rPr>
                <w:sz w:val="18"/>
                <w:szCs w:val="18"/>
              </w:rPr>
              <w:t>1 </w:t>
            </w:r>
          </w:p>
        </w:tc>
        <w:tc>
          <w:tcPr>
            <w:tcW w:w="1600" w:type="dxa"/>
            <w:tcBorders>
              <w:top w:val="single" w:sz="4" w:space="0" w:color="auto"/>
              <w:left w:val="nil"/>
              <w:bottom w:val="single" w:sz="4" w:space="0" w:color="auto"/>
              <w:right w:val="single" w:sz="4" w:space="0" w:color="000000"/>
            </w:tcBorders>
            <w:vAlign w:val="center"/>
            <w:hideMark/>
          </w:tcPr>
          <w:p w:rsidR="00D120E6" w:rsidRDefault="00D120E6">
            <w:pPr>
              <w:jc w:val="center"/>
              <w:rPr>
                <w:sz w:val="18"/>
                <w:szCs w:val="18"/>
              </w:rPr>
            </w:pPr>
            <w:r>
              <w:rPr>
                <w:sz w:val="18"/>
                <w:szCs w:val="18"/>
              </w:rPr>
              <w:t>3 </w:t>
            </w:r>
          </w:p>
        </w:tc>
      </w:tr>
      <w:tr w:rsidR="00D120E6" w:rsidTr="00D120E6">
        <w:trPr>
          <w:trHeight w:val="315"/>
        </w:trPr>
        <w:tc>
          <w:tcPr>
            <w:tcW w:w="2880"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rPr>
            </w:pPr>
            <w:r>
              <w:rPr>
                <w:sz w:val="18"/>
                <w:szCs w:val="18"/>
              </w:rPr>
              <w:t>Готівка</w:t>
            </w:r>
          </w:p>
        </w:tc>
        <w:tc>
          <w:tcPr>
            <w:tcW w:w="1600"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rPr>
            </w:pPr>
            <w:r>
              <w:rPr>
                <w:b/>
                <w:bCs/>
                <w:sz w:val="18"/>
                <w:szCs w:val="18"/>
              </w:rPr>
              <w:t> </w:t>
            </w:r>
            <w:r w:rsidR="004A7C6F">
              <w:rPr>
                <w:b/>
                <w:bCs/>
                <w:sz w:val="18"/>
                <w:szCs w:val="18"/>
              </w:rPr>
              <w:t>350</w:t>
            </w:r>
          </w:p>
        </w:tc>
      </w:tr>
      <w:tr w:rsidR="00D120E6" w:rsidTr="00D120E6">
        <w:trPr>
          <w:trHeight w:val="315"/>
        </w:trPr>
        <w:tc>
          <w:tcPr>
            <w:tcW w:w="2880"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rPr>
            </w:pPr>
            <w:r>
              <w:rPr>
                <w:sz w:val="18"/>
                <w:szCs w:val="18"/>
              </w:rPr>
              <w:t>Поточний рахунок у банку </w:t>
            </w:r>
          </w:p>
        </w:tc>
        <w:tc>
          <w:tcPr>
            <w:tcW w:w="1600"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rPr>
            </w:pPr>
            <w:r>
              <w:rPr>
                <w:b/>
                <w:bCs/>
                <w:sz w:val="18"/>
                <w:szCs w:val="18"/>
              </w:rPr>
              <w:t> </w:t>
            </w:r>
            <w:r w:rsidR="004A7C6F">
              <w:rPr>
                <w:b/>
                <w:bCs/>
                <w:sz w:val="18"/>
                <w:szCs w:val="18"/>
              </w:rPr>
              <w:t>4</w:t>
            </w:r>
            <w:r w:rsidR="007752AD">
              <w:rPr>
                <w:b/>
                <w:bCs/>
                <w:sz w:val="18"/>
                <w:szCs w:val="18"/>
              </w:rPr>
              <w:t>38</w:t>
            </w:r>
          </w:p>
        </w:tc>
      </w:tr>
      <w:tr w:rsidR="00D120E6" w:rsidTr="00D120E6">
        <w:trPr>
          <w:trHeight w:val="315"/>
        </w:trPr>
        <w:tc>
          <w:tcPr>
            <w:tcW w:w="2880"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rPr>
            </w:pPr>
            <w:r>
              <w:rPr>
                <w:sz w:val="18"/>
                <w:szCs w:val="18"/>
              </w:rPr>
              <w:t>Грошові кошти в дорозі </w:t>
            </w:r>
          </w:p>
        </w:tc>
        <w:tc>
          <w:tcPr>
            <w:tcW w:w="1600" w:type="dxa"/>
            <w:tcBorders>
              <w:top w:val="single" w:sz="4" w:space="0" w:color="auto"/>
              <w:left w:val="nil"/>
              <w:bottom w:val="single" w:sz="4" w:space="0" w:color="auto"/>
              <w:right w:val="single" w:sz="4" w:space="0" w:color="000000"/>
            </w:tcBorders>
            <w:vAlign w:val="center"/>
            <w:hideMark/>
          </w:tcPr>
          <w:p w:rsidR="00D120E6" w:rsidRDefault="00D120E6">
            <w:pPr>
              <w:jc w:val="center"/>
              <w:rPr>
                <w:sz w:val="18"/>
                <w:szCs w:val="18"/>
              </w:rPr>
            </w:pPr>
            <w:r>
              <w:rPr>
                <w:sz w:val="18"/>
                <w:szCs w:val="18"/>
              </w:rPr>
              <w:t> </w:t>
            </w:r>
          </w:p>
        </w:tc>
      </w:tr>
      <w:tr w:rsidR="00D120E6" w:rsidTr="00D120E6">
        <w:trPr>
          <w:trHeight w:val="315"/>
        </w:trPr>
        <w:tc>
          <w:tcPr>
            <w:tcW w:w="2880"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rPr>
            </w:pPr>
            <w:r>
              <w:rPr>
                <w:sz w:val="18"/>
                <w:szCs w:val="18"/>
              </w:rPr>
              <w:lastRenderedPageBreak/>
              <w:t>Еквіваленти грошових коштів </w:t>
            </w:r>
          </w:p>
        </w:tc>
        <w:tc>
          <w:tcPr>
            <w:tcW w:w="1600" w:type="dxa"/>
            <w:tcBorders>
              <w:top w:val="single" w:sz="4" w:space="0" w:color="auto"/>
              <w:left w:val="nil"/>
              <w:bottom w:val="single" w:sz="4" w:space="0" w:color="auto"/>
              <w:right w:val="single" w:sz="4" w:space="0" w:color="000000"/>
            </w:tcBorders>
            <w:vAlign w:val="center"/>
            <w:hideMark/>
          </w:tcPr>
          <w:p w:rsidR="00D120E6" w:rsidRDefault="00D120E6">
            <w:pPr>
              <w:jc w:val="center"/>
              <w:rPr>
                <w:sz w:val="18"/>
                <w:szCs w:val="18"/>
              </w:rPr>
            </w:pPr>
            <w:r>
              <w:rPr>
                <w:sz w:val="18"/>
                <w:szCs w:val="18"/>
              </w:rPr>
              <w:t> </w:t>
            </w:r>
          </w:p>
        </w:tc>
      </w:tr>
      <w:tr w:rsidR="00D120E6" w:rsidTr="00D120E6">
        <w:trPr>
          <w:trHeight w:val="315"/>
        </w:trPr>
        <w:tc>
          <w:tcPr>
            <w:tcW w:w="2880"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rPr>
            </w:pPr>
            <w:r>
              <w:rPr>
                <w:sz w:val="18"/>
                <w:szCs w:val="18"/>
              </w:rPr>
              <w:t>Разом </w:t>
            </w:r>
          </w:p>
        </w:tc>
        <w:tc>
          <w:tcPr>
            <w:tcW w:w="1600" w:type="dxa"/>
            <w:tcBorders>
              <w:top w:val="single" w:sz="4" w:space="0" w:color="auto"/>
              <w:left w:val="nil"/>
              <w:bottom w:val="single" w:sz="4" w:space="0" w:color="auto"/>
              <w:right w:val="single" w:sz="4" w:space="0" w:color="000000"/>
            </w:tcBorders>
            <w:vAlign w:val="center"/>
            <w:hideMark/>
          </w:tcPr>
          <w:p w:rsidR="00D120E6" w:rsidRPr="006D69E5" w:rsidRDefault="004A7C6F" w:rsidP="004A7C6F">
            <w:pPr>
              <w:jc w:val="center"/>
            </w:pPr>
            <w:r>
              <w:t>788</w:t>
            </w:r>
          </w:p>
        </w:tc>
      </w:tr>
    </w:tbl>
    <w:p w:rsidR="00D120E6" w:rsidRPr="006D69E5" w:rsidRDefault="004A7C6F" w:rsidP="00E472A7">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lang w:val="ru-RU"/>
        </w:rPr>
      </w:pPr>
      <w:r>
        <w:t>Примітка 4</w:t>
      </w:r>
      <w:r w:rsidR="006D69E5">
        <w:t xml:space="preserve">.8 </w:t>
      </w:r>
      <w:r w:rsidR="00D120E6">
        <w:t xml:space="preserve"> </w:t>
      </w:r>
      <w:r w:rsidR="00D120E6" w:rsidRPr="006D69E5">
        <w:t>Необоротні активи, утримувані для продажу, та групи вибуття (рядок 1200)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Кредитна спілка не має активів, утримуваних для продажу.</w:t>
      </w:r>
    </w:p>
    <w:p w:rsidR="00D120E6" w:rsidRDefault="00EA1F20" w:rsidP="006D69E5">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Примітка 4</w:t>
      </w:r>
      <w:r w:rsidR="006D69E5">
        <w:t xml:space="preserve">.9 </w:t>
      </w:r>
      <w:r w:rsidR="00D120E6">
        <w:t>Зареєстрований (пайовий) капітал (рядок 1400)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Відповідно до МСБО 32, у якості пайового капіталу кредитна спілка визнає обов’язкові пайові внески членів кредитної спілки. Рух таких внесків відображено у Звіті про власний капітал у графі 3.</w:t>
      </w:r>
      <w:r w:rsidR="00FD0C9F">
        <w:t xml:space="preserve"> Пайовий капітал на 31.12.2016р. становить 253 тис. грн. Протягом року було </w:t>
      </w:r>
      <w:proofErr w:type="spellStart"/>
      <w:r w:rsidR="00FD0C9F">
        <w:t>внесено</w:t>
      </w:r>
      <w:proofErr w:type="spellEnd"/>
      <w:r w:rsidR="00FD0C9F">
        <w:t xml:space="preserve"> 5 тис. грн., вилучено – 2 тис. грн. </w:t>
      </w:r>
    </w:p>
    <w:p w:rsidR="00D120E6" w:rsidRPr="00E472A7" w:rsidRDefault="00EA1F20" w:rsidP="006D69E5">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rsidRPr="00E472A7">
        <w:t>Примітка 4</w:t>
      </w:r>
      <w:r w:rsidR="006D69E5" w:rsidRPr="00E472A7">
        <w:t xml:space="preserve">.10 </w:t>
      </w:r>
      <w:r w:rsidR="00D120E6" w:rsidRPr="00E472A7">
        <w:t>Додатковий капітал (рядок 1410)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72A7">
        <w:t>Відповідно до МСБО 32, у складі додаткового капіталу кредитна спілка визнає внески членів кредитної спілки з обов’язковою сплатою, які повертаються тільки при припиненні членства. Рух таких внесків відображено у Зві</w:t>
      </w:r>
      <w:r w:rsidR="006D69E5" w:rsidRPr="00E472A7">
        <w:t>ті про власний капітал в графі 5</w:t>
      </w:r>
      <w:r w:rsidRPr="00E472A7">
        <w:t>.</w:t>
      </w:r>
      <w:r w:rsidR="00FD4988" w:rsidRPr="00E472A7">
        <w:t>Кредитна спілка немає внесків  членів кредитної спілки з обов’язковою сплатою, які повертаються тільки при припиненні членства.</w:t>
      </w:r>
      <w:r w:rsidR="00FD4988">
        <w:t xml:space="preserve"> </w:t>
      </w:r>
    </w:p>
    <w:p w:rsidR="00D120E6" w:rsidRDefault="00EA1F20" w:rsidP="006D69E5">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Примітка 4</w:t>
      </w:r>
      <w:r w:rsidR="006D69E5">
        <w:t xml:space="preserve">.11 </w:t>
      </w:r>
      <w:r w:rsidR="00D120E6">
        <w:t>Резервний капітал (рядок 1415)</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Кредитна спілка формує резервний капітал відповідно до Положення про фінансове управління. Джерела формування резервного капіталу передбачені Статутом та Положенням про фінансове управління. Рух коштів резервного капіталу відображено у Звіт</w:t>
      </w:r>
      <w:r w:rsidR="006D69E5">
        <w:t>і про власний капітал у графі 6.</w:t>
      </w:r>
      <w:r w:rsidR="00FD0C9F">
        <w:t xml:space="preserve"> Резервний капітал станом на 31.12.2016р. становив 1804 тис. грн. Протягом року резервний капітал збільшено на 123 тис грн. за рахунок відрахування з нерозподіленого прибутку та на 4 тис. грн. за рахунок внесків учасників.</w:t>
      </w:r>
    </w:p>
    <w:p w:rsidR="00D120E6" w:rsidRDefault="00EA1F20" w:rsidP="006D69E5">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Примітка 4</w:t>
      </w:r>
      <w:r w:rsidR="006D69E5">
        <w:t xml:space="preserve">.12 </w:t>
      </w:r>
      <w:r w:rsidR="00D120E6">
        <w:t>Нерозподілений прибуток (непокритий збиток) (рядок 1420)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 цій фінансовій звітності, відповідно до вимог МСФЗ, кредитна спілка вираховує фінансовий результат методом нарахування та за принципом відповідності доходів та витрат. Використання нерозп</w:t>
      </w:r>
      <w:r w:rsidR="00C96DEE">
        <w:t>оділеного прибутку протягом 201</w:t>
      </w:r>
      <w:r w:rsidR="00C96DEE" w:rsidRPr="00C96DEE">
        <w:rPr>
          <w:lang w:val="ru-RU"/>
        </w:rPr>
        <w:t>6</w:t>
      </w:r>
      <w:r>
        <w:t xml:space="preserve"> року відображено у Звіті про власний капітал у графі 7.</w:t>
      </w:r>
      <w:r w:rsidR="00FD0C9F">
        <w:t xml:space="preserve"> Протягом року кредитна спілка отримала 57 тис. грн. чистого збитку та здійснила 123 тис. грн.. відрахувань до резервного капіталу. Нерозподілений прибуток на кінець року становив 879 тис. грн. </w:t>
      </w:r>
    </w:p>
    <w:p w:rsidR="00D120E6" w:rsidRPr="006D69E5" w:rsidRDefault="00EA1F20" w:rsidP="00E472A7">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Примітка 4</w:t>
      </w:r>
      <w:r w:rsidR="006D69E5">
        <w:t xml:space="preserve">.13 </w:t>
      </w:r>
      <w:r w:rsidR="00D120E6">
        <w:t>Інші довгострокові зобов'язання (рядок 1515)</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Кредитна спілка не має довгострокових зобов'язань.</w:t>
      </w:r>
    </w:p>
    <w:p w:rsidR="00D120E6" w:rsidRPr="006D69E5" w:rsidRDefault="00EA1F20" w:rsidP="00E472A7">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Примітка 4</w:t>
      </w:r>
      <w:r w:rsidR="006D69E5">
        <w:t xml:space="preserve">.14 </w:t>
      </w:r>
      <w:r w:rsidR="00D120E6">
        <w:t>Довгострокові забезпечення (рядок 1520)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Кредитна спілка не формує довгострокових забезпечень.</w:t>
      </w:r>
    </w:p>
    <w:p w:rsidR="00D120E6" w:rsidRDefault="00EA1F20" w:rsidP="006D69E5">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Примітка 4</w:t>
      </w:r>
      <w:r w:rsidR="006D69E5">
        <w:t xml:space="preserve">.15 </w:t>
      </w:r>
      <w:r w:rsidR="00D120E6">
        <w:t>Поточна заборгованість за довгостроковими зобов'язаннями (рядок 1610)</w:t>
      </w:r>
    </w:p>
    <w:p w:rsidR="00D120E6" w:rsidRPr="006D69E5"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До поточної заборгованості за довгостроковими зобов’язаннями віднесено поточну частину довгострокових зобов’язань кредитної спілки, які відоб</w:t>
      </w:r>
      <w:r w:rsidR="006D69E5">
        <w:t>ражені за амортизованою вартістю.</w:t>
      </w:r>
      <w:r w:rsidR="001C78AD">
        <w:t xml:space="preserve"> Поточні довгострокові зобов’язання (</w:t>
      </w:r>
      <w:proofErr w:type="spellStart"/>
      <w:r w:rsidR="001C78AD">
        <w:t>рах</w:t>
      </w:r>
      <w:proofErr w:type="spellEnd"/>
      <w:r w:rsidR="001C78AD">
        <w:t>. 611/1) в сумі 1388 тис. грн. та нараховані і несплачені відсотки (</w:t>
      </w:r>
      <w:proofErr w:type="spellStart"/>
      <w:r w:rsidR="001C78AD">
        <w:t>рах</w:t>
      </w:r>
      <w:proofErr w:type="spellEnd"/>
      <w:r w:rsidR="001C78AD">
        <w:t xml:space="preserve">. 684/1) в сумі 584 тис. грн.. Всього поточна кредиторська заборгованість за довгостроковими зобов’язаннями складає 1972 тис. грн. </w:t>
      </w:r>
    </w:p>
    <w:p w:rsidR="00D120E6" w:rsidRPr="00D228FA" w:rsidRDefault="00EA1F20" w:rsidP="00D228FA">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Примітка 4</w:t>
      </w:r>
      <w:r w:rsidR="00D228FA">
        <w:t xml:space="preserve">.16 </w:t>
      </w:r>
      <w:r w:rsidR="00D120E6">
        <w:t>Поточна заборгованість за розрахунками зі страхування та з оплати праці (рядки 1625,1630)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Кредитна спілка не має заборгованості з виплати заробітної плати. Кредитна спілка своєчасно та в повному обсязі сплачує податки на заробітну плату. Заробітна плата за</w:t>
      </w:r>
      <w:r w:rsidR="00EA1F20">
        <w:t xml:space="preserve"> грудень</w:t>
      </w:r>
      <w:r w:rsidR="00FD0C9F">
        <w:t xml:space="preserve"> </w:t>
      </w:r>
      <w:r w:rsidR="00FD4988">
        <w:t xml:space="preserve">2016р - </w:t>
      </w:r>
      <w:r w:rsidR="00EA1F20">
        <w:t xml:space="preserve"> виплачена в грудні 2016</w:t>
      </w:r>
      <w:r>
        <w:t xml:space="preserve"> р.</w:t>
      </w:r>
    </w:p>
    <w:p w:rsidR="00D120E6" w:rsidRDefault="00D228FA" w:rsidP="00D228FA">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 xml:space="preserve">Примітка 5.17 </w:t>
      </w:r>
      <w:r w:rsidR="00D120E6">
        <w:t>Поточні забезпечення (рядок 1660)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Кредитна спілка формує резерв на виплати працівникам та інші забезпечення відповідно до вимог МСБО 37.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Деталізація статті Поточні забезпечення наведена в таблиці нижче:</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8080" w:type="dxa"/>
        <w:tblInd w:w="103" w:type="dxa"/>
        <w:tblLook w:val="04A0" w:firstRow="1" w:lastRow="0" w:firstColumn="1" w:lastColumn="0" w:noHBand="0" w:noVBand="1"/>
      </w:tblPr>
      <w:tblGrid>
        <w:gridCol w:w="3002"/>
        <w:gridCol w:w="889"/>
        <w:gridCol w:w="946"/>
        <w:gridCol w:w="1221"/>
        <w:gridCol w:w="1133"/>
        <w:gridCol w:w="889"/>
      </w:tblGrid>
      <w:tr w:rsidR="00D120E6" w:rsidTr="00D120E6">
        <w:trPr>
          <w:trHeight w:val="720"/>
        </w:trPr>
        <w:tc>
          <w:tcPr>
            <w:tcW w:w="3434" w:type="dxa"/>
            <w:vMerge w:val="restart"/>
            <w:tcBorders>
              <w:top w:val="single" w:sz="4" w:space="0" w:color="auto"/>
              <w:left w:val="single" w:sz="4" w:space="0" w:color="auto"/>
              <w:bottom w:val="single" w:sz="4" w:space="0" w:color="000000"/>
              <w:right w:val="single" w:sz="4" w:space="0" w:color="000000"/>
            </w:tcBorders>
            <w:shd w:val="clear" w:color="auto" w:fill="C0C0C0"/>
            <w:vAlign w:val="center"/>
            <w:hideMark/>
          </w:tcPr>
          <w:p w:rsidR="00D120E6" w:rsidRDefault="00D120E6">
            <w:pPr>
              <w:jc w:val="center"/>
              <w:rPr>
                <w:sz w:val="18"/>
                <w:szCs w:val="18"/>
              </w:rPr>
            </w:pPr>
            <w:r>
              <w:rPr>
                <w:sz w:val="18"/>
                <w:szCs w:val="18"/>
              </w:rPr>
              <w:lastRenderedPageBreak/>
              <w:t>Види забезпечень і резервів</w:t>
            </w:r>
          </w:p>
        </w:tc>
        <w:tc>
          <w:tcPr>
            <w:tcW w:w="826" w:type="dxa"/>
            <w:vMerge w:val="restart"/>
            <w:tcBorders>
              <w:top w:val="single" w:sz="4" w:space="0" w:color="auto"/>
              <w:left w:val="single" w:sz="4" w:space="0" w:color="auto"/>
              <w:bottom w:val="single" w:sz="4" w:space="0" w:color="000000"/>
              <w:right w:val="single" w:sz="4" w:space="0" w:color="000000"/>
            </w:tcBorders>
            <w:shd w:val="clear" w:color="auto" w:fill="C0C0C0"/>
            <w:vAlign w:val="center"/>
            <w:hideMark/>
          </w:tcPr>
          <w:p w:rsidR="00D120E6" w:rsidRDefault="00D120E6">
            <w:pPr>
              <w:jc w:val="center"/>
              <w:rPr>
                <w:sz w:val="18"/>
                <w:szCs w:val="18"/>
              </w:rPr>
            </w:pPr>
            <w:r>
              <w:rPr>
                <w:sz w:val="18"/>
                <w:szCs w:val="18"/>
              </w:rPr>
              <w:t>Залишок на початок року</w:t>
            </w:r>
          </w:p>
        </w:tc>
        <w:tc>
          <w:tcPr>
            <w:tcW w:w="865" w:type="dxa"/>
            <w:vMerge w:val="restart"/>
            <w:tcBorders>
              <w:top w:val="single" w:sz="4" w:space="0" w:color="auto"/>
              <w:left w:val="single" w:sz="4" w:space="0" w:color="auto"/>
              <w:bottom w:val="single" w:sz="4" w:space="0" w:color="000000"/>
              <w:right w:val="single" w:sz="4" w:space="0" w:color="000000"/>
            </w:tcBorders>
            <w:shd w:val="clear" w:color="auto" w:fill="C0C0C0"/>
            <w:vAlign w:val="center"/>
            <w:hideMark/>
          </w:tcPr>
          <w:p w:rsidR="00D120E6" w:rsidRDefault="00D120E6">
            <w:pPr>
              <w:jc w:val="center"/>
              <w:rPr>
                <w:sz w:val="18"/>
                <w:szCs w:val="18"/>
              </w:rPr>
            </w:pPr>
            <w:r>
              <w:rPr>
                <w:sz w:val="18"/>
                <w:szCs w:val="18"/>
              </w:rPr>
              <w:t>Створено в звітному році</w:t>
            </w:r>
          </w:p>
        </w:tc>
        <w:tc>
          <w:tcPr>
            <w:tcW w:w="1110" w:type="dxa"/>
            <w:vMerge w:val="restart"/>
            <w:tcBorders>
              <w:top w:val="single" w:sz="4" w:space="0" w:color="auto"/>
              <w:left w:val="single" w:sz="4" w:space="0" w:color="auto"/>
              <w:bottom w:val="single" w:sz="4" w:space="0" w:color="000000"/>
              <w:right w:val="single" w:sz="4" w:space="0" w:color="000000"/>
            </w:tcBorders>
            <w:shd w:val="clear" w:color="auto" w:fill="C0C0C0"/>
            <w:vAlign w:val="center"/>
            <w:hideMark/>
          </w:tcPr>
          <w:p w:rsidR="00D120E6" w:rsidRDefault="00D120E6">
            <w:pPr>
              <w:jc w:val="center"/>
              <w:rPr>
                <w:sz w:val="18"/>
                <w:szCs w:val="18"/>
              </w:rPr>
            </w:pPr>
            <w:r>
              <w:rPr>
                <w:sz w:val="18"/>
                <w:szCs w:val="18"/>
              </w:rPr>
              <w:t>Використано в звітному році</w:t>
            </w:r>
          </w:p>
        </w:tc>
        <w:tc>
          <w:tcPr>
            <w:tcW w:w="1031" w:type="dxa"/>
            <w:vMerge w:val="restart"/>
            <w:tcBorders>
              <w:top w:val="single" w:sz="4" w:space="0" w:color="auto"/>
              <w:left w:val="single" w:sz="4" w:space="0" w:color="auto"/>
              <w:bottom w:val="single" w:sz="4" w:space="0" w:color="000000"/>
              <w:right w:val="nil"/>
            </w:tcBorders>
            <w:shd w:val="clear" w:color="auto" w:fill="C0C0C0"/>
            <w:vAlign w:val="center"/>
            <w:hideMark/>
          </w:tcPr>
          <w:p w:rsidR="00D120E6" w:rsidRDefault="00D120E6">
            <w:pPr>
              <w:jc w:val="center"/>
              <w:rPr>
                <w:sz w:val="18"/>
                <w:szCs w:val="18"/>
              </w:rPr>
            </w:pPr>
            <w:proofErr w:type="spellStart"/>
            <w:r>
              <w:rPr>
                <w:sz w:val="18"/>
                <w:szCs w:val="18"/>
              </w:rPr>
              <w:t>Сторновано</w:t>
            </w:r>
            <w:proofErr w:type="spellEnd"/>
            <w:r>
              <w:rPr>
                <w:sz w:val="18"/>
                <w:szCs w:val="18"/>
              </w:rPr>
              <w:t xml:space="preserve"> в звітному році</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8"/>
                <w:szCs w:val="18"/>
              </w:rPr>
            </w:pPr>
            <w:r>
              <w:rPr>
                <w:sz w:val="18"/>
                <w:szCs w:val="18"/>
              </w:rPr>
              <w:t>Залишок на кінець року</w:t>
            </w:r>
          </w:p>
        </w:tc>
      </w:tr>
      <w:tr w:rsidR="00D120E6" w:rsidTr="00D120E6">
        <w:trPr>
          <w:trHeight w:val="720"/>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000000"/>
              <w:right w:val="nil"/>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r>
      <w:tr w:rsidR="00D120E6" w:rsidTr="00D120E6">
        <w:trPr>
          <w:trHeight w:val="255"/>
        </w:trPr>
        <w:tc>
          <w:tcPr>
            <w:tcW w:w="3434" w:type="dxa"/>
            <w:tcBorders>
              <w:top w:val="single" w:sz="4" w:space="0" w:color="auto"/>
              <w:left w:val="single" w:sz="4" w:space="0" w:color="auto"/>
              <w:bottom w:val="single" w:sz="4" w:space="0" w:color="auto"/>
              <w:right w:val="single" w:sz="4" w:space="0" w:color="auto"/>
            </w:tcBorders>
            <w:hideMark/>
          </w:tcPr>
          <w:p w:rsidR="00D120E6" w:rsidRDefault="00D120E6">
            <w:pPr>
              <w:rPr>
                <w:sz w:val="18"/>
                <w:szCs w:val="18"/>
              </w:rPr>
            </w:pPr>
            <w:r>
              <w:rPr>
                <w:sz w:val="18"/>
                <w:szCs w:val="18"/>
              </w:rPr>
              <w:t>Забезпечення на виплату відпусток працівникам</w:t>
            </w:r>
          </w:p>
        </w:tc>
        <w:tc>
          <w:tcPr>
            <w:tcW w:w="826" w:type="dxa"/>
            <w:tcBorders>
              <w:top w:val="single" w:sz="4" w:space="0" w:color="auto"/>
              <w:left w:val="nil"/>
              <w:bottom w:val="single" w:sz="4" w:space="0" w:color="auto"/>
              <w:right w:val="single" w:sz="4" w:space="0" w:color="auto"/>
            </w:tcBorders>
            <w:vAlign w:val="center"/>
          </w:tcPr>
          <w:p w:rsidR="00D120E6" w:rsidRDefault="00FD4988">
            <w:pPr>
              <w:jc w:val="center"/>
              <w:rPr>
                <w:sz w:val="18"/>
                <w:szCs w:val="18"/>
              </w:rPr>
            </w:pPr>
            <w:r>
              <w:rPr>
                <w:sz w:val="18"/>
                <w:szCs w:val="18"/>
              </w:rPr>
              <w:t>46</w:t>
            </w:r>
          </w:p>
        </w:tc>
        <w:tc>
          <w:tcPr>
            <w:tcW w:w="865" w:type="dxa"/>
            <w:tcBorders>
              <w:top w:val="single" w:sz="4" w:space="0" w:color="auto"/>
              <w:left w:val="nil"/>
              <w:bottom w:val="single" w:sz="4" w:space="0" w:color="auto"/>
              <w:right w:val="single" w:sz="4" w:space="0" w:color="auto"/>
            </w:tcBorders>
            <w:vAlign w:val="center"/>
          </w:tcPr>
          <w:p w:rsidR="00D120E6" w:rsidRDefault="00FD4988">
            <w:pPr>
              <w:jc w:val="center"/>
              <w:rPr>
                <w:sz w:val="18"/>
                <w:szCs w:val="18"/>
              </w:rPr>
            </w:pPr>
            <w:r>
              <w:rPr>
                <w:sz w:val="18"/>
                <w:szCs w:val="18"/>
              </w:rPr>
              <w:t>72</w:t>
            </w:r>
          </w:p>
        </w:tc>
        <w:tc>
          <w:tcPr>
            <w:tcW w:w="1110" w:type="dxa"/>
            <w:tcBorders>
              <w:top w:val="single" w:sz="4" w:space="0" w:color="auto"/>
              <w:left w:val="nil"/>
              <w:bottom w:val="single" w:sz="4" w:space="0" w:color="auto"/>
              <w:right w:val="single" w:sz="4" w:space="0" w:color="auto"/>
            </w:tcBorders>
            <w:vAlign w:val="center"/>
          </w:tcPr>
          <w:p w:rsidR="00D120E6" w:rsidRDefault="00FD4988">
            <w:pPr>
              <w:jc w:val="center"/>
              <w:rPr>
                <w:sz w:val="18"/>
                <w:szCs w:val="18"/>
              </w:rPr>
            </w:pPr>
            <w:r>
              <w:rPr>
                <w:sz w:val="18"/>
                <w:szCs w:val="18"/>
              </w:rPr>
              <w:t>61</w:t>
            </w:r>
          </w:p>
        </w:tc>
        <w:tc>
          <w:tcPr>
            <w:tcW w:w="1031" w:type="dxa"/>
            <w:tcBorders>
              <w:top w:val="single" w:sz="4" w:space="0" w:color="auto"/>
              <w:left w:val="nil"/>
              <w:bottom w:val="single" w:sz="4" w:space="0" w:color="auto"/>
              <w:right w:val="single" w:sz="4" w:space="0" w:color="auto"/>
            </w:tcBorders>
            <w:vAlign w:val="center"/>
          </w:tcPr>
          <w:p w:rsidR="00D120E6" w:rsidRDefault="00D120E6">
            <w:pPr>
              <w:jc w:val="center"/>
              <w:rPr>
                <w:sz w:val="18"/>
                <w:szCs w:val="18"/>
              </w:rPr>
            </w:pPr>
          </w:p>
        </w:tc>
        <w:tc>
          <w:tcPr>
            <w:tcW w:w="814" w:type="dxa"/>
            <w:tcBorders>
              <w:top w:val="single" w:sz="4" w:space="0" w:color="auto"/>
              <w:left w:val="single" w:sz="4" w:space="0" w:color="auto"/>
              <w:bottom w:val="single" w:sz="4" w:space="0" w:color="auto"/>
              <w:right w:val="single" w:sz="4" w:space="0" w:color="auto"/>
            </w:tcBorders>
            <w:vAlign w:val="center"/>
            <w:hideMark/>
          </w:tcPr>
          <w:p w:rsidR="00D120E6" w:rsidRDefault="00FD4988">
            <w:pPr>
              <w:jc w:val="center"/>
              <w:rPr>
                <w:sz w:val="18"/>
                <w:szCs w:val="18"/>
              </w:rPr>
            </w:pPr>
            <w:r>
              <w:rPr>
                <w:sz w:val="18"/>
                <w:szCs w:val="18"/>
              </w:rPr>
              <w:t>57</w:t>
            </w:r>
            <w:r w:rsidR="00D120E6">
              <w:rPr>
                <w:sz w:val="18"/>
                <w:szCs w:val="18"/>
              </w:rPr>
              <w:t> </w:t>
            </w:r>
          </w:p>
        </w:tc>
      </w:tr>
      <w:tr w:rsidR="00D120E6" w:rsidTr="00D120E6">
        <w:trPr>
          <w:trHeight w:val="345"/>
        </w:trPr>
        <w:tc>
          <w:tcPr>
            <w:tcW w:w="3434" w:type="dxa"/>
            <w:tcBorders>
              <w:top w:val="single" w:sz="4" w:space="0" w:color="auto"/>
              <w:left w:val="single" w:sz="4" w:space="0" w:color="auto"/>
              <w:bottom w:val="single" w:sz="4" w:space="0" w:color="auto"/>
              <w:right w:val="single" w:sz="4" w:space="0" w:color="auto"/>
            </w:tcBorders>
            <w:hideMark/>
          </w:tcPr>
          <w:p w:rsidR="00D120E6" w:rsidRDefault="00D120E6">
            <w:pPr>
              <w:rPr>
                <w:sz w:val="18"/>
                <w:szCs w:val="18"/>
              </w:rPr>
            </w:pPr>
            <w:r>
              <w:rPr>
                <w:sz w:val="18"/>
                <w:szCs w:val="18"/>
              </w:rPr>
              <w:t>Забезпечення наступних витрат на реструктуризацію</w:t>
            </w:r>
          </w:p>
        </w:tc>
        <w:tc>
          <w:tcPr>
            <w:tcW w:w="826"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865"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1110"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1031"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814" w:type="dxa"/>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r>
      <w:tr w:rsidR="00D120E6" w:rsidTr="00D120E6">
        <w:trPr>
          <w:trHeight w:val="495"/>
        </w:trPr>
        <w:tc>
          <w:tcPr>
            <w:tcW w:w="3434" w:type="dxa"/>
            <w:tcBorders>
              <w:top w:val="single" w:sz="4" w:space="0" w:color="auto"/>
              <w:left w:val="single" w:sz="4" w:space="0" w:color="auto"/>
              <w:bottom w:val="single" w:sz="4" w:space="0" w:color="auto"/>
              <w:right w:val="single" w:sz="4" w:space="0" w:color="auto"/>
            </w:tcBorders>
            <w:hideMark/>
          </w:tcPr>
          <w:p w:rsidR="00D120E6" w:rsidRDefault="00D120E6">
            <w:pPr>
              <w:rPr>
                <w:sz w:val="18"/>
                <w:szCs w:val="18"/>
              </w:rPr>
            </w:pPr>
            <w:r>
              <w:rPr>
                <w:sz w:val="18"/>
                <w:szCs w:val="18"/>
              </w:rPr>
              <w:t>Забезпечення наступних витрат на виконання зобов'язань щодо обтяжливих контрактів</w:t>
            </w:r>
          </w:p>
        </w:tc>
        <w:tc>
          <w:tcPr>
            <w:tcW w:w="826"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865"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1110"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1031"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814" w:type="dxa"/>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r>
      <w:tr w:rsidR="00D120E6" w:rsidTr="00D120E6">
        <w:trPr>
          <w:trHeight w:val="570"/>
        </w:trPr>
        <w:tc>
          <w:tcPr>
            <w:tcW w:w="3434" w:type="dxa"/>
            <w:tcBorders>
              <w:top w:val="single" w:sz="4" w:space="0" w:color="auto"/>
              <w:left w:val="single" w:sz="4" w:space="0" w:color="auto"/>
              <w:bottom w:val="single" w:sz="4" w:space="0" w:color="auto"/>
              <w:right w:val="single" w:sz="4" w:space="0" w:color="auto"/>
            </w:tcBorders>
            <w:hideMark/>
          </w:tcPr>
          <w:p w:rsidR="00D120E6" w:rsidRDefault="00D120E6">
            <w:pPr>
              <w:rPr>
                <w:sz w:val="18"/>
                <w:szCs w:val="18"/>
              </w:rPr>
            </w:pPr>
            <w:r>
              <w:rPr>
                <w:sz w:val="18"/>
                <w:szCs w:val="18"/>
              </w:rPr>
              <w:t>Забезпечення за юридичними зобов'язаннями (укладеними договорами), що відносяться до діяльності у звітному році</w:t>
            </w:r>
          </w:p>
        </w:tc>
        <w:tc>
          <w:tcPr>
            <w:tcW w:w="826" w:type="dxa"/>
            <w:tcBorders>
              <w:top w:val="single" w:sz="4" w:space="0" w:color="auto"/>
              <w:left w:val="nil"/>
              <w:bottom w:val="single" w:sz="4" w:space="0" w:color="auto"/>
              <w:right w:val="single" w:sz="4" w:space="0" w:color="000000"/>
            </w:tcBorders>
            <w:vAlign w:val="center"/>
            <w:hideMark/>
          </w:tcPr>
          <w:p w:rsidR="00D120E6" w:rsidRDefault="00D120E6">
            <w:pPr>
              <w:jc w:val="center"/>
              <w:rPr>
                <w:sz w:val="18"/>
                <w:szCs w:val="18"/>
              </w:rPr>
            </w:pPr>
            <w:r>
              <w:rPr>
                <w:sz w:val="18"/>
                <w:szCs w:val="18"/>
              </w:rPr>
              <w:t> </w:t>
            </w:r>
          </w:p>
        </w:tc>
        <w:tc>
          <w:tcPr>
            <w:tcW w:w="865"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1110"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1031"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814" w:type="dxa"/>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r>
      <w:tr w:rsidR="00D120E6" w:rsidTr="00D120E6">
        <w:trPr>
          <w:trHeight w:val="720"/>
        </w:trPr>
        <w:tc>
          <w:tcPr>
            <w:tcW w:w="34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120E6" w:rsidRDefault="00D120E6">
            <w:pPr>
              <w:jc w:val="left"/>
              <w:rPr>
                <w:b/>
                <w:bCs/>
                <w:sz w:val="18"/>
                <w:szCs w:val="18"/>
              </w:rPr>
            </w:pPr>
            <w:r>
              <w:rPr>
                <w:b/>
                <w:bCs/>
                <w:sz w:val="18"/>
                <w:szCs w:val="18"/>
              </w:rPr>
              <w:t>Разом</w:t>
            </w:r>
          </w:p>
        </w:tc>
        <w:tc>
          <w:tcPr>
            <w:tcW w:w="826" w:type="dxa"/>
            <w:tcBorders>
              <w:top w:val="single" w:sz="4" w:space="0" w:color="auto"/>
              <w:left w:val="nil"/>
              <w:bottom w:val="single" w:sz="4" w:space="0" w:color="auto"/>
              <w:right w:val="single" w:sz="4" w:space="0" w:color="000000"/>
            </w:tcBorders>
            <w:shd w:val="clear" w:color="auto" w:fill="D9D9D9"/>
            <w:vAlign w:val="center"/>
          </w:tcPr>
          <w:p w:rsidR="00D120E6" w:rsidRDefault="00FD4988">
            <w:pPr>
              <w:jc w:val="center"/>
              <w:rPr>
                <w:b/>
                <w:bCs/>
                <w:sz w:val="18"/>
                <w:szCs w:val="18"/>
              </w:rPr>
            </w:pPr>
            <w:r>
              <w:rPr>
                <w:b/>
                <w:bCs/>
                <w:sz w:val="18"/>
                <w:szCs w:val="18"/>
              </w:rPr>
              <w:t>46</w:t>
            </w:r>
          </w:p>
        </w:tc>
        <w:tc>
          <w:tcPr>
            <w:tcW w:w="865" w:type="dxa"/>
            <w:tcBorders>
              <w:top w:val="single" w:sz="4" w:space="0" w:color="auto"/>
              <w:left w:val="nil"/>
              <w:bottom w:val="single" w:sz="4" w:space="0" w:color="auto"/>
              <w:right w:val="single" w:sz="4" w:space="0" w:color="auto"/>
            </w:tcBorders>
            <w:shd w:val="clear" w:color="auto" w:fill="D9D9D9"/>
            <w:vAlign w:val="center"/>
          </w:tcPr>
          <w:p w:rsidR="00D120E6" w:rsidRDefault="00FD4988">
            <w:pPr>
              <w:jc w:val="center"/>
              <w:rPr>
                <w:b/>
                <w:bCs/>
                <w:sz w:val="18"/>
                <w:szCs w:val="18"/>
              </w:rPr>
            </w:pPr>
            <w:r>
              <w:rPr>
                <w:b/>
                <w:bCs/>
                <w:sz w:val="18"/>
                <w:szCs w:val="18"/>
              </w:rPr>
              <w:t>72</w:t>
            </w:r>
          </w:p>
        </w:tc>
        <w:tc>
          <w:tcPr>
            <w:tcW w:w="1110" w:type="dxa"/>
            <w:tcBorders>
              <w:top w:val="single" w:sz="4" w:space="0" w:color="auto"/>
              <w:left w:val="nil"/>
              <w:bottom w:val="single" w:sz="4" w:space="0" w:color="auto"/>
              <w:right w:val="single" w:sz="4" w:space="0" w:color="auto"/>
            </w:tcBorders>
            <w:shd w:val="clear" w:color="auto" w:fill="D9D9D9"/>
            <w:vAlign w:val="center"/>
          </w:tcPr>
          <w:p w:rsidR="00D120E6" w:rsidRDefault="00FD4988">
            <w:pPr>
              <w:jc w:val="center"/>
              <w:rPr>
                <w:b/>
                <w:bCs/>
                <w:sz w:val="18"/>
                <w:szCs w:val="18"/>
              </w:rPr>
            </w:pPr>
            <w:r>
              <w:rPr>
                <w:b/>
                <w:bCs/>
                <w:sz w:val="18"/>
                <w:szCs w:val="18"/>
              </w:rPr>
              <w:t>61</w:t>
            </w:r>
          </w:p>
        </w:tc>
        <w:tc>
          <w:tcPr>
            <w:tcW w:w="1031" w:type="dxa"/>
            <w:tcBorders>
              <w:top w:val="single" w:sz="4" w:space="0" w:color="auto"/>
              <w:left w:val="nil"/>
              <w:bottom w:val="single" w:sz="4" w:space="0" w:color="auto"/>
              <w:right w:val="single" w:sz="4" w:space="0" w:color="auto"/>
            </w:tcBorders>
            <w:shd w:val="clear" w:color="auto" w:fill="D9D9D9"/>
            <w:vAlign w:val="center"/>
          </w:tcPr>
          <w:p w:rsidR="00D120E6" w:rsidRDefault="00D120E6">
            <w:pPr>
              <w:jc w:val="center"/>
              <w:rPr>
                <w:b/>
                <w:bCs/>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D9D9D9"/>
            <w:vAlign w:val="center"/>
          </w:tcPr>
          <w:p w:rsidR="00D120E6" w:rsidRDefault="00FD4988">
            <w:pPr>
              <w:jc w:val="center"/>
              <w:rPr>
                <w:b/>
                <w:bCs/>
                <w:sz w:val="18"/>
                <w:szCs w:val="18"/>
              </w:rPr>
            </w:pPr>
            <w:r>
              <w:rPr>
                <w:b/>
                <w:bCs/>
                <w:sz w:val="18"/>
                <w:szCs w:val="18"/>
              </w:rPr>
              <w:t>57</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FD4988" w:rsidP="00D228FA">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Примітка 4</w:t>
      </w:r>
      <w:r w:rsidR="00D228FA">
        <w:t xml:space="preserve">.18 </w:t>
      </w:r>
      <w:r w:rsidR="00D120E6">
        <w:t>Інші поточні зобов'язання (рядок 1690)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Деталізація статті Інші поточні зобов’язання наведена в таблиці нижче:</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4480" w:type="dxa"/>
        <w:tblInd w:w="103" w:type="dxa"/>
        <w:tblLook w:val="04A0" w:firstRow="1" w:lastRow="0" w:firstColumn="1" w:lastColumn="0" w:noHBand="0" w:noVBand="1"/>
      </w:tblPr>
      <w:tblGrid>
        <w:gridCol w:w="3454"/>
        <w:gridCol w:w="1026"/>
      </w:tblGrid>
      <w:tr w:rsidR="00D120E6" w:rsidTr="00D120E6">
        <w:trPr>
          <w:trHeight w:val="720"/>
        </w:trPr>
        <w:tc>
          <w:tcPr>
            <w:tcW w:w="354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8"/>
                <w:szCs w:val="18"/>
              </w:rPr>
            </w:pPr>
            <w:r>
              <w:rPr>
                <w:sz w:val="18"/>
                <w:szCs w:val="18"/>
              </w:rPr>
              <w:t>Найменування показника</w:t>
            </w:r>
          </w:p>
        </w:tc>
        <w:tc>
          <w:tcPr>
            <w:tcW w:w="936" w:type="dxa"/>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8"/>
                <w:szCs w:val="18"/>
              </w:rPr>
            </w:pPr>
            <w:r>
              <w:rPr>
                <w:sz w:val="18"/>
                <w:szCs w:val="18"/>
              </w:rPr>
              <w:t>На 31.12.2</w:t>
            </w:r>
            <w:r w:rsidR="00FD4988">
              <w:rPr>
                <w:sz w:val="18"/>
                <w:szCs w:val="18"/>
              </w:rPr>
              <w:t>016</w:t>
            </w:r>
            <w:r>
              <w:rPr>
                <w:sz w:val="18"/>
                <w:szCs w:val="18"/>
              </w:rPr>
              <w:t xml:space="preserve"> (тис. грн.)</w:t>
            </w:r>
          </w:p>
        </w:tc>
      </w:tr>
      <w:tr w:rsidR="00D120E6" w:rsidTr="00D120E6">
        <w:trPr>
          <w:trHeight w:val="495"/>
        </w:trPr>
        <w:tc>
          <w:tcPr>
            <w:tcW w:w="3544"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18"/>
                <w:szCs w:val="18"/>
              </w:rPr>
            </w:pPr>
            <w:r>
              <w:rPr>
                <w:sz w:val="18"/>
                <w:szCs w:val="18"/>
              </w:rPr>
              <w:t>Внески членів на додаткові пайові внески за амортизованою вартістю</w:t>
            </w:r>
            <w:r w:rsidR="001C78AD">
              <w:rPr>
                <w:sz w:val="18"/>
                <w:szCs w:val="18"/>
              </w:rPr>
              <w:t xml:space="preserve"> (</w:t>
            </w:r>
            <w:proofErr w:type="spellStart"/>
            <w:r w:rsidR="001C78AD">
              <w:rPr>
                <w:sz w:val="18"/>
                <w:szCs w:val="18"/>
              </w:rPr>
              <w:t>рах</w:t>
            </w:r>
            <w:proofErr w:type="spellEnd"/>
            <w:r w:rsidR="001C78AD">
              <w:rPr>
                <w:sz w:val="18"/>
                <w:szCs w:val="18"/>
              </w:rPr>
              <w:t>. 402/2)</w:t>
            </w:r>
          </w:p>
        </w:tc>
        <w:tc>
          <w:tcPr>
            <w:tcW w:w="936" w:type="dxa"/>
            <w:tcBorders>
              <w:top w:val="single" w:sz="4" w:space="0" w:color="auto"/>
              <w:left w:val="nil"/>
              <w:bottom w:val="single" w:sz="4" w:space="0" w:color="auto"/>
              <w:right w:val="single" w:sz="4" w:space="0" w:color="auto"/>
            </w:tcBorders>
            <w:vAlign w:val="center"/>
          </w:tcPr>
          <w:p w:rsidR="00D120E6" w:rsidRDefault="00FD4988">
            <w:pPr>
              <w:jc w:val="center"/>
              <w:rPr>
                <w:sz w:val="18"/>
                <w:szCs w:val="18"/>
              </w:rPr>
            </w:pPr>
            <w:r>
              <w:rPr>
                <w:sz w:val="18"/>
                <w:szCs w:val="18"/>
              </w:rPr>
              <w:t>556</w:t>
            </w:r>
          </w:p>
        </w:tc>
      </w:tr>
      <w:tr w:rsidR="00D120E6" w:rsidTr="00D120E6">
        <w:trPr>
          <w:trHeight w:val="255"/>
        </w:trPr>
        <w:tc>
          <w:tcPr>
            <w:tcW w:w="3544" w:type="dxa"/>
            <w:tcBorders>
              <w:top w:val="nil"/>
              <w:left w:val="single" w:sz="4" w:space="0" w:color="auto"/>
              <w:bottom w:val="single" w:sz="4" w:space="0" w:color="auto"/>
              <w:right w:val="single" w:sz="4" w:space="0" w:color="auto"/>
            </w:tcBorders>
            <w:hideMark/>
          </w:tcPr>
          <w:p w:rsidR="00D120E6" w:rsidRDefault="00D120E6" w:rsidP="001C78AD">
            <w:pPr>
              <w:jc w:val="left"/>
              <w:rPr>
                <w:sz w:val="18"/>
                <w:szCs w:val="18"/>
              </w:rPr>
            </w:pPr>
            <w:r>
              <w:rPr>
                <w:sz w:val="18"/>
                <w:szCs w:val="18"/>
              </w:rPr>
              <w:t>Добровільні внески членів в додатковий капітал</w:t>
            </w:r>
            <w:r w:rsidR="001C78AD">
              <w:rPr>
                <w:sz w:val="18"/>
                <w:szCs w:val="18"/>
              </w:rPr>
              <w:t xml:space="preserve"> (</w:t>
            </w:r>
            <w:proofErr w:type="spellStart"/>
            <w:r w:rsidR="001C78AD">
              <w:rPr>
                <w:sz w:val="18"/>
                <w:szCs w:val="18"/>
              </w:rPr>
              <w:t>рах</w:t>
            </w:r>
            <w:proofErr w:type="spellEnd"/>
            <w:r w:rsidR="001C78AD">
              <w:rPr>
                <w:sz w:val="18"/>
                <w:szCs w:val="18"/>
              </w:rPr>
              <w:t>. 422/1)</w:t>
            </w:r>
          </w:p>
        </w:tc>
        <w:tc>
          <w:tcPr>
            <w:tcW w:w="936" w:type="dxa"/>
            <w:tcBorders>
              <w:top w:val="single" w:sz="4" w:space="0" w:color="auto"/>
              <w:left w:val="single" w:sz="4" w:space="0" w:color="auto"/>
              <w:bottom w:val="single" w:sz="4" w:space="0" w:color="auto"/>
              <w:right w:val="single" w:sz="4" w:space="0" w:color="auto"/>
            </w:tcBorders>
            <w:vAlign w:val="center"/>
          </w:tcPr>
          <w:p w:rsidR="00D120E6" w:rsidRDefault="00FD4988">
            <w:pPr>
              <w:jc w:val="center"/>
              <w:rPr>
                <w:sz w:val="18"/>
                <w:szCs w:val="18"/>
              </w:rPr>
            </w:pPr>
            <w:r>
              <w:rPr>
                <w:sz w:val="18"/>
                <w:szCs w:val="18"/>
              </w:rPr>
              <w:t>717</w:t>
            </w:r>
          </w:p>
        </w:tc>
      </w:tr>
      <w:tr w:rsidR="00D120E6" w:rsidTr="00D120E6">
        <w:trPr>
          <w:trHeight w:val="450"/>
        </w:trPr>
        <w:tc>
          <w:tcPr>
            <w:tcW w:w="3544" w:type="dxa"/>
            <w:tcBorders>
              <w:top w:val="single" w:sz="4" w:space="0" w:color="auto"/>
              <w:left w:val="single" w:sz="4" w:space="0" w:color="auto"/>
              <w:bottom w:val="single" w:sz="4" w:space="0" w:color="auto"/>
              <w:right w:val="single" w:sz="4" w:space="0" w:color="auto"/>
            </w:tcBorders>
            <w:hideMark/>
          </w:tcPr>
          <w:p w:rsidR="00D120E6" w:rsidRDefault="00D120E6" w:rsidP="001C78AD">
            <w:pPr>
              <w:jc w:val="left"/>
              <w:rPr>
                <w:sz w:val="18"/>
                <w:szCs w:val="18"/>
              </w:rPr>
            </w:pPr>
            <w:r>
              <w:rPr>
                <w:sz w:val="18"/>
                <w:szCs w:val="18"/>
              </w:rPr>
              <w:t>Поточні зобов'язання за внесками (вкладами) на депозитні рахунки за амортизованою вартістю</w:t>
            </w:r>
            <w:r w:rsidR="001C78AD">
              <w:rPr>
                <w:sz w:val="18"/>
                <w:szCs w:val="18"/>
              </w:rPr>
              <w:t xml:space="preserve"> (</w:t>
            </w:r>
            <w:proofErr w:type="spellStart"/>
            <w:r w:rsidR="001C78AD">
              <w:rPr>
                <w:sz w:val="18"/>
                <w:szCs w:val="18"/>
              </w:rPr>
              <w:t>рах</w:t>
            </w:r>
            <w:proofErr w:type="spellEnd"/>
            <w:r w:rsidR="001C78AD">
              <w:rPr>
                <w:sz w:val="18"/>
                <w:szCs w:val="18"/>
              </w:rPr>
              <w:t>. 686/10 + (</w:t>
            </w:r>
            <w:proofErr w:type="spellStart"/>
            <w:r w:rsidR="001C78AD">
              <w:rPr>
                <w:sz w:val="18"/>
                <w:szCs w:val="18"/>
              </w:rPr>
              <w:t>рах</w:t>
            </w:r>
            <w:proofErr w:type="spellEnd"/>
            <w:r w:rsidR="001C78AD">
              <w:rPr>
                <w:sz w:val="18"/>
                <w:szCs w:val="18"/>
              </w:rPr>
              <w:t>. 684/1 – частина, віднесеної до рядка 1610)))</w:t>
            </w:r>
          </w:p>
        </w:tc>
        <w:tc>
          <w:tcPr>
            <w:tcW w:w="936" w:type="dxa"/>
            <w:tcBorders>
              <w:top w:val="single" w:sz="4" w:space="0" w:color="auto"/>
              <w:left w:val="single" w:sz="4" w:space="0" w:color="auto"/>
              <w:bottom w:val="single" w:sz="4" w:space="0" w:color="auto"/>
              <w:right w:val="single" w:sz="4" w:space="0" w:color="auto"/>
            </w:tcBorders>
            <w:vAlign w:val="center"/>
          </w:tcPr>
          <w:p w:rsidR="00D120E6" w:rsidRDefault="00FD4988">
            <w:pPr>
              <w:jc w:val="center"/>
              <w:rPr>
                <w:sz w:val="18"/>
                <w:szCs w:val="18"/>
              </w:rPr>
            </w:pPr>
            <w:r>
              <w:rPr>
                <w:sz w:val="18"/>
                <w:szCs w:val="18"/>
              </w:rPr>
              <w:t>102</w:t>
            </w:r>
          </w:p>
        </w:tc>
      </w:tr>
      <w:tr w:rsidR="00D120E6" w:rsidTr="00D120E6">
        <w:trPr>
          <w:trHeight w:val="510"/>
        </w:trPr>
        <w:tc>
          <w:tcPr>
            <w:tcW w:w="3544" w:type="dxa"/>
            <w:tcBorders>
              <w:top w:val="single" w:sz="4" w:space="0" w:color="auto"/>
              <w:left w:val="single" w:sz="4" w:space="0" w:color="auto"/>
              <w:bottom w:val="single" w:sz="4" w:space="0" w:color="auto"/>
              <w:right w:val="single" w:sz="4" w:space="0" w:color="000000"/>
            </w:tcBorders>
            <w:hideMark/>
          </w:tcPr>
          <w:p w:rsidR="00D120E6" w:rsidRDefault="00D120E6">
            <w:pPr>
              <w:jc w:val="left"/>
              <w:rPr>
                <w:sz w:val="18"/>
                <w:szCs w:val="18"/>
              </w:rPr>
            </w:pPr>
            <w:r>
              <w:rPr>
                <w:sz w:val="18"/>
                <w:szCs w:val="18"/>
              </w:rPr>
              <w:t>Поточні зобов'язання перед юридичними особами за амортизованою вартістю</w:t>
            </w:r>
          </w:p>
        </w:tc>
        <w:tc>
          <w:tcPr>
            <w:tcW w:w="936" w:type="dxa"/>
            <w:tcBorders>
              <w:top w:val="single" w:sz="4" w:space="0" w:color="auto"/>
              <w:left w:val="nil"/>
              <w:bottom w:val="single" w:sz="4" w:space="0" w:color="auto"/>
              <w:right w:val="single" w:sz="4" w:space="0" w:color="auto"/>
            </w:tcBorders>
            <w:vAlign w:val="center"/>
          </w:tcPr>
          <w:p w:rsidR="00D120E6" w:rsidRDefault="00D120E6">
            <w:pPr>
              <w:jc w:val="center"/>
              <w:rPr>
                <w:sz w:val="18"/>
                <w:szCs w:val="18"/>
              </w:rPr>
            </w:pPr>
          </w:p>
        </w:tc>
      </w:tr>
      <w:tr w:rsidR="00D120E6" w:rsidTr="00D120E6">
        <w:trPr>
          <w:trHeight w:val="270"/>
        </w:trPr>
        <w:tc>
          <w:tcPr>
            <w:tcW w:w="3544"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rPr>
            </w:pPr>
            <w:r>
              <w:rPr>
                <w:sz w:val="18"/>
                <w:szCs w:val="18"/>
              </w:rPr>
              <w:t xml:space="preserve">Інша поточна кредиторська заборгованість </w:t>
            </w:r>
          </w:p>
        </w:tc>
        <w:tc>
          <w:tcPr>
            <w:tcW w:w="936" w:type="dxa"/>
            <w:tcBorders>
              <w:top w:val="single" w:sz="4" w:space="0" w:color="auto"/>
              <w:left w:val="nil"/>
              <w:bottom w:val="single" w:sz="4" w:space="0" w:color="auto"/>
              <w:right w:val="single" w:sz="4" w:space="0" w:color="auto"/>
            </w:tcBorders>
            <w:vAlign w:val="center"/>
          </w:tcPr>
          <w:p w:rsidR="00D120E6" w:rsidRDefault="00D120E6">
            <w:pPr>
              <w:jc w:val="center"/>
              <w:rPr>
                <w:sz w:val="18"/>
                <w:szCs w:val="18"/>
              </w:rPr>
            </w:pPr>
          </w:p>
        </w:tc>
      </w:tr>
      <w:tr w:rsidR="00D120E6" w:rsidTr="00D120E6">
        <w:trPr>
          <w:trHeight w:val="285"/>
        </w:trPr>
        <w:tc>
          <w:tcPr>
            <w:tcW w:w="3544" w:type="dxa"/>
            <w:tcBorders>
              <w:top w:val="single" w:sz="4" w:space="0" w:color="auto"/>
              <w:left w:val="single" w:sz="4" w:space="0" w:color="auto"/>
              <w:bottom w:val="single" w:sz="4" w:space="0" w:color="auto"/>
              <w:right w:val="single" w:sz="4" w:space="0" w:color="000000"/>
            </w:tcBorders>
            <w:hideMark/>
          </w:tcPr>
          <w:p w:rsidR="00D120E6" w:rsidRDefault="00D120E6">
            <w:pPr>
              <w:jc w:val="left"/>
              <w:rPr>
                <w:b/>
                <w:bCs/>
                <w:sz w:val="18"/>
                <w:szCs w:val="18"/>
              </w:rPr>
            </w:pPr>
            <w:r>
              <w:rPr>
                <w:b/>
                <w:bCs/>
                <w:sz w:val="18"/>
                <w:szCs w:val="18"/>
              </w:rPr>
              <w:t>РАЗОМ</w:t>
            </w:r>
          </w:p>
        </w:tc>
        <w:tc>
          <w:tcPr>
            <w:tcW w:w="936" w:type="dxa"/>
            <w:tcBorders>
              <w:top w:val="single" w:sz="4" w:space="0" w:color="auto"/>
              <w:left w:val="nil"/>
              <w:bottom w:val="single" w:sz="4" w:space="0" w:color="auto"/>
              <w:right w:val="single" w:sz="4" w:space="0" w:color="auto"/>
            </w:tcBorders>
            <w:vAlign w:val="center"/>
          </w:tcPr>
          <w:p w:rsidR="00D120E6" w:rsidRDefault="00FD4988">
            <w:pPr>
              <w:jc w:val="center"/>
              <w:rPr>
                <w:sz w:val="18"/>
                <w:szCs w:val="18"/>
              </w:rPr>
            </w:pPr>
            <w:r>
              <w:rPr>
                <w:sz w:val="18"/>
                <w:szCs w:val="18"/>
              </w:rPr>
              <w:t>1375</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F5DD3" w:rsidRDefault="00D120E6" w:rsidP="00CF5DD3">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Інформація, що підтверджує статті, подані у звіті про фінансові результати (Звіт про сукупний дохід) </w:t>
      </w:r>
    </w:p>
    <w:p w:rsidR="00AA2AEA" w:rsidRPr="00AA2AEA" w:rsidRDefault="00AA2AEA" w:rsidP="00AA2AEA"/>
    <w:p w:rsidR="00CF5DD3" w:rsidRPr="00CF5DD3" w:rsidRDefault="00AA2AEA" w:rsidP="00AA2AEA">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Примітка 5</w:t>
      </w:r>
      <w:r w:rsidR="00CF5DD3">
        <w:t xml:space="preserve">.1 </w:t>
      </w:r>
      <w:r w:rsidR="00D120E6">
        <w:t>Інші операційні доходи (рядок 2120)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Деталізація статті Інші операційні доходи наведена в таблиці нижче:</w:t>
      </w:r>
    </w:p>
    <w:tbl>
      <w:tblPr>
        <w:tblW w:w="3680" w:type="dxa"/>
        <w:tblInd w:w="103" w:type="dxa"/>
        <w:tblLook w:val="04A0" w:firstRow="1" w:lastRow="0" w:firstColumn="1" w:lastColumn="0" w:noHBand="0" w:noVBand="1"/>
      </w:tblPr>
      <w:tblGrid>
        <w:gridCol w:w="2720"/>
        <w:gridCol w:w="960"/>
      </w:tblGrid>
      <w:tr w:rsidR="00D120E6" w:rsidTr="00D120E6">
        <w:trPr>
          <w:trHeight w:val="510"/>
        </w:trPr>
        <w:tc>
          <w:tcPr>
            <w:tcW w:w="2720" w:type="dxa"/>
            <w:tcBorders>
              <w:top w:val="single" w:sz="4" w:space="0" w:color="auto"/>
              <w:left w:val="single" w:sz="4" w:space="0" w:color="auto"/>
              <w:bottom w:val="single" w:sz="4" w:space="0" w:color="auto"/>
              <w:right w:val="single" w:sz="4" w:space="0" w:color="000000"/>
            </w:tcBorders>
            <w:shd w:val="clear" w:color="auto" w:fill="C0C0C0"/>
            <w:hideMark/>
          </w:tcPr>
          <w:p w:rsidR="00D120E6" w:rsidRDefault="00D120E6">
            <w:pPr>
              <w:jc w:val="center"/>
              <w:rPr>
                <w:sz w:val="18"/>
                <w:szCs w:val="18"/>
                <w:lang w:eastAsia="uk-UA"/>
              </w:rPr>
            </w:pPr>
            <w:r>
              <w:rPr>
                <w:sz w:val="18"/>
                <w:szCs w:val="18"/>
                <w:lang w:eastAsia="uk-UA"/>
              </w:rPr>
              <w:t>Найменування показника</w:t>
            </w:r>
          </w:p>
        </w:tc>
        <w:tc>
          <w:tcPr>
            <w:tcW w:w="960" w:type="dxa"/>
            <w:tcBorders>
              <w:top w:val="single" w:sz="4" w:space="0" w:color="auto"/>
              <w:left w:val="nil"/>
              <w:bottom w:val="single" w:sz="4" w:space="0" w:color="auto"/>
              <w:right w:val="single" w:sz="4" w:space="0" w:color="auto"/>
            </w:tcBorders>
            <w:shd w:val="clear" w:color="auto" w:fill="C0C0C0"/>
            <w:hideMark/>
          </w:tcPr>
          <w:p w:rsidR="00D120E6" w:rsidRDefault="00D120E6">
            <w:pPr>
              <w:jc w:val="center"/>
              <w:rPr>
                <w:sz w:val="18"/>
                <w:szCs w:val="18"/>
                <w:lang w:eastAsia="uk-UA"/>
              </w:rPr>
            </w:pPr>
            <w:r>
              <w:rPr>
                <w:sz w:val="18"/>
                <w:szCs w:val="18"/>
                <w:lang w:eastAsia="uk-UA"/>
              </w:rPr>
              <w:t>За звітний рік</w:t>
            </w:r>
          </w:p>
        </w:tc>
      </w:tr>
      <w:tr w:rsidR="00D120E6" w:rsidTr="00D120E6">
        <w:trPr>
          <w:trHeight w:val="285"/>
        </w:trPr>
        <w:tc>
          <w:tcPr>
            <w:tcW w:w="2720"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jc w:val="left"/>
              <w:rPr>
                <w:sz w:val="18"/>
                <w:szCs w:val="18"/>
                <w:lang w:eastAsia="uk-UA"/>
              </w:rPr>
            </w:pPr>
            <w:r>
              <w:rPr>
                <w:sz w:val="18"/>
                <w:szCs w:val="18"/>
                <w:lang w:eastAsia="uk-UA"/>
              </w:rPr>
              <w:t>Нараховані проценти за кредитами</w:t>
            </w:r>
          </w:p>
        </w:tc>
        <w:tc>
          <w:tcPr>
            <w:tcW w:w="960" w:type="dxa"/>
            <w:tcBorders>
              <w:top w:val="single" w:sz="4" w:space="0" w:color="auto"/>
              <w:left w:val="nil"/>
              <w:bottom w:val="single" w:sz="4" w:space="0" w:color="auto"/>
              <w:right w:val="single" w:sz="4" w:space="0" w:color="auto"/>
            </w:tcBorders>
            <w:shd w:val="clear" w:color="auto" w:fill="FFFFFF"/>
          </w:tcPr>
          <w:p w:rsidR="00D120E6" w:rsidRDefault="00AA2AEA">
            <w:pPr>
              <w:jc w:val="center"/>
              <w:rPr>
                <w:sz w:val="18"/>
                <w:szCs w:val="18"/>
                <w:lang w:eastAsia="uk-UA"/>
              </w:rPr>
            </w:pPr>
            <w:r>
              <w:rPr>
                <w:sz w:val="18"/>
                <w:szCs w:val="18"/>
                <w:lang w:eastAsia="uk-UA"/>
              </w:rPr>
              <w:t>1538</w:t>
            </w:r>
          </w:p>
        </w:tc>
      </w:tr>
      <w:tr w:rsidR="00D120E6" w:rsidTr="00D120E6">
        <w:trPr>
          <w:trHeight w:val="285"/>
        </w:trPr>
        <w:tc>
          <w:tcPr>
            <w:tcW w:w="2720"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jc w:val="left"/>
              <w:rPr>
                <w:sz w:val="18"/>
                <w:szCs w:val="18"/>
                <w:lang w:eastAsia="uk-UA"/>
              </w:rPr>
            </w:pPr>
            <w:r>
              <w:rPr>
                <w:sz w:val="18"/>
                <w:szCs w:val="18"/>
                <w:lang w:eastAsia="uk-UA"/>
              </w:rPr>
              <w:t>Інші процентні доходи</w:t>
            </w:r>
          </w:p>
        </w:tc>
        <w:tc>
          <w:tcPr>
            <w:tcW w:w="960" w:type="dxa"/>
            <w:tcBorders>
              <w:top w:val="single" w:sz="4" w:space="0" w:color="auto"/>
              <w:left w:val="nil"/>
              <w:bottom w:val="single" w:sz="4" w:space="0" w:color="auto"/>
              <w:right w:val="single" w:sz="4" w:space="0" w:color="auto"/>
            </w:tcBorders>
            <w:shd w:val="clear" w:color="auto" w:fill="FFFFFF"/>
          </w:tcPr>
          <w:p w:rsidR="00D120E6" w:rsidRDefault="00AA2AEA">
            <w:pPr>
              <w:jc w:val="center"/>
              <w:rPr>
                <w:sz w:val="18"/>
                <w:szCs w:val="18"/>
                <w:lang w:eastAsia="uk-UA"/>
              </w:rPr>
            </w:pPr>
            <w:r>
              <w:rPr>
                <w:sz w:val="18"/>
                <w:szCs w:val="18"/>
                <w:lang w:eastAsia="uk-UA"/>
              </w:rPr>
              <w:t>9</w:t>
            </w:r>
          </w:p>
        </w:tc>
      </w:tr>
      <w:tr w:rsidR="00D120E6" w:rsidTr="00D120E6">
        <w:trPr>
          <w:trHeight w:val="585"/>
        </w:trPr>
        <w:tc>
          <w:tcPr>
            <w:tcW w:w="2720"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jc w:val="left"/>
              <w:rPr>
                <w:sz w:val="18"/>
                <w:szCs w:val="18"/>
                <w:lang w:eastAsia="uk-UA"/>
              </w:rPr>
            </w:pPr>
            <w:r>
              <w:rPr>
                <w:sz w:val="18"/>
                <w:szCs w:val="18"/>
                <w:lang w:eastAsia="uk-UA"/>
              </w:rPr>
              <w:t>Штрафи, пені та інші санкції за кредитними договорами</w:t>
            </w:r>
          </w:p>
        </w:tc>
        <w:tc>
          <w:tcPr>
            <w:tcW w:w="960" w:type="dxa"/>
            <w:tcBorders>
              <w:top w:val="single" w:sz="4" w:space="0" w:color="auto"/>
              <w:left w:val="nil"/>
              <w:bottom w:val="single" w:sz="4" w:space="0" w:color="auto"/>
              <w:right w:val="single" w:sz="4" w:space="0" w:color="auto"/>
            </w:tcBorders>
            <w:shd w:val="clear" w:color="auto" w:fill="FFFFFF"/>
          </w:tcPr>
          <w:p w:rsidR="00D120E6" w:rsidRDefault="00D120E6">
            <w:pPr>
              <w:jc w:val="center"/>
              <w:rPr>
                <w:sz w:val="18"/>
                <w:szCs w:val="18"/>
                <w:lang w:eastAsia="uk-UA"/>
              </w:rPr>
            </w:pPr>
          </w:p>
        </w:tc>
      </w:tr>
      <w:tr w:rsidR="00D120E6" w:rsidTr="00D120E6">
        <w:trPr>
          <w:trHeight w:val="510"/>
        </w:trPr>
        <w:tc>
          <w:tcPr>
            <w:tcW w:w="2720"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jc w:val="left"/>
              <w:rPr>
                <w:sz w:val="18"/>
                <w:szCs w:val="18"/>
                <w:lang w:eastAsia="uk-UA"/>
              </w:rPr>
            </w:pPr>
            <w:r>
              <w:rPr>
                <w:sz w:val="18"/>
                <w:szCs w:val="18"/>
                <w:lang w:eastAsia="uk-UA"/>
              </w:rPr>
              <w:t>Дохід від зменшення Резерву покриття втрат від неповернених позичок</w:t>
            </w:r>
          </w:p>
        </w:tc>
        <w:tc>
          <w:tcPr>
            <w:tcW w:w="960" w:type="dxa"/>
            <w:tcBorders>
              <w:top w:val="single" w:sz="4" w:space="0" w:color="auto"/>
              <w:left w:val="nil"/>
              <w:bottom w:val="single" w:sz="4" w:space="0" w:color="auto"/>
              <w:right w:val="single" w:sz="4" w:space="0" w:color="auto"/>
            </w:tcBorders>
            <w:shd w:val="clear" w:color="auto" w:fill="FFFFFF"/>
          </w:tcPr>
          <w:p w:rsidR="00D120E6" w:rsidRDefault="00D120E6">
            <w:pPr>
              <w:jc w:val="center"/>
              <w:rPr>
                <w:sz w:val="18"/>
                <w:szCs w:val="18"/>
                <w:lang w:eastAsia="uk-UA"/>
              </w:rPr>
            </w:pPr>
          </w:p>
        </w:tc>
      </w:tr>
      <w:tr w:rsidR="00D120E6" w:rsidTr="00D120E6">
        <w:trPr>
          <w:trHeight w:val="285"/>
        </w:trPr>
        <w:tc>
          <w:tcPr>
            <w:tcW w:w="2720"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jc w:val="left"/>
              <w:rPr>
                <w:sz w:val="18"/>
                <w:szCs w:val="18"/>
                <w:lang w:eastAsia="uk-UA"/>
              </w:rPr>
            </w:pPr>
            <w:r>
              <w:rPr>
                <w:sz w:val="18"/>
                <w:szCs w:val="18"/>
                <w:lang w:eastAsia="uk-UA"/>
              </w:rPr>
              <w:t>Інші непроцентні доходи</w:t>
            </w:r>
          </w:p>
        </w:tc>
        <w:tc>
          <w:tcPr>
            <w:tcW w:w="960" w:type="dxa"/>
            <w:tcBorders>
              <w:top w:val="single" w:sz="4" w:space="0" w:color="auto"/>
              <w:left w:val="nil"/>
              <w:bottom w:val="single" w:sz="4" w:space="0" w:color="auto"/>
              <w:right w:val="single" w:sz="4" w:space="0" w:color="auto"/>
            </w:tcBorders>
            <w:shd w:val="clear" w:color="auto" w:fill="FFFFFF"/>
            <w:hideMark/>
          </w:tcPr>
          <w:p w:rsidR="00D120E6" w:rsidRDefault="00D120E6">
            <w:pPr>
              <w:jc w:val="center"/>
              <w:rPr>
                <w:sz w:val="18"/>
                <w:szCs w:val="18"/>
                <w:lang w:eastAsia="uk-UA"/>
              </w:rPr>
            </w:pPr>
            <w:r>
              <w:rPr>
                <w:sz w:val="18"/>
                <w:szCs w:val="18"/>
                <w:lang w:eastAsia="uk-UA"/>
              </w:rPr>
              <w:t> </w:t>
            </w:r>
          </w:p>
        </w:tc>
      </w:tr>
      <w:tr w:rsidR="00D120E6" w:rsidTr="00D120E6">
        <w:trPr>
          <w:trHeight w:val="285"/>
        </w:trPr>
        <w:tc>
          <w:tcPr>
            <w:tcW w:w="2720" w:type="dxa"/>
            <w:tcBorders>
              <w:top w:val="single" w:sz="4" w:space="0" w:color="auto"/>
              <w:left w:val="single" w:sz="4" w:space="0" w:color="auto"/>
              <w:bottom w:val="single" w:sz="4" w:space="0" w:color="auto"/>
              <w:right w:val="single" w:sz="4" w:space="0" w:color="auto"/>
            </w:tcBorders>
            <w:shd w:val="clear" w:color="auto" w:fill="D9D9D9"/>
            <w:hideMark/>
          </w:tcPr>
          <w:p w:rsidR="00D120E6" w:rsidRDefault="00D120E6">
            <w:pPr>
              <w:rPr>
                <w:b/>
                <w:bCs/>
                <w:sz w:val="18"/>
                <w:szCs w:val="18"/>
                <w:lang w:eastAsia="uk-UA"/>
              </w:rPr>
            </w:pPr>
            <w:r>
              <w:rPr>
                <w:b/>
                <w:bCs/>
                <w:sz w:val="18"/>
                <w:szCs w:val="18"/>
                <w:lang w:eastAsia="uk-UA"/>
              </w:rPr>
              <w:t>Разом операційні доходи</w:t>
            </w:r>
          </w:p>
        </w:tc>
        <w:tc>
          <w:tcPr>
            <w:tcW w:w="960" w:type="dxa"/>
            <w:tcBorders>
              <w:top w:val="single" w:sz="4" w:space="0" w:color="auto"/>
              <w:left w:val="nil"/>
              <w:bottom w:val="single" w:sz="4" w:space="0" w:color="auto"/>
              <w:right w:val="single" w:sz="4" w:space="0" w:color="auto"/>
            </w:tcBorders>
            <w:shd w:val="clear" w:color="auto" w:fill="D9D9D9"/>
          </w:tcPr>
          <w:p w:rsidR="00D120E6" w:rsidRDefault="00AA2AEA">
            <w:pPr>
              <w:jc w:val="center"/>
              <w:rPr>
                <w:sz w:val="18"/>
                <w:szCs w:val="18"/>
                <w:lang w:eastAsia="uk-UA"/>
              </w:rPr>
            </w:pPr>
            <w:r>
              <w:rPr>
                <w:sz w:val="18"/>
                <w:szCs w:val="18"/>
                <w:lang w:eastAsia="uk-UA"/>
              </w:rPr>
              <w:t>1547</w:t>
            </w:r>
          </w:p>
        </w:tc>
      </w:tr>
    </w:tbl>
    <w:p w:rsidR="00D120E6" w:rsidRDefault="003365F7" w:rsidP="00CF5DD3">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lastRenderedPageBreak/>
        <w:t xml:space="preserve"> </w:t>
      </w:r>
      <w:r w:rsidR="00AA2AEA">
        <w:t>Примітка 5</w:t>
      </w:r>
      <w:r w:rsidR="00CF5DD3">
        <w:t xml:space="preserve">.2 </w:t>
      </w:r>
      <w:r w:rsidR="00D120E6">
        <w:t>Адміністративні витрати, інші операційні витрати та фінансові витрати (рядки 2130, 2180, 2250)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Кредитна спілка визнає витрати методом нарахування на основі безпосереднього зіставлення між понесеними витратами і прибутками по конкретних статтях доходів, що припускає одночасне визнання прибутків і витрат, що виникають безпосередньо і спільно від одних і тих самих операцій або інших подій. Фінансові витрати визнаються за методом ефективного відсотка. Деталізація статей витрат Адміністративні витрати, Інші операційні витрати та Фінансові витрати наведена в таблиці нижче:</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6254" w:type="dxa"/>
        <w:tblInd w:w="103" w:type="dxa"/>
        <w:tblLook w:val="04A0" w:firstRow="1" w:lastRow="0" w:firstColumn="1" w:lastColumn="0" w:noHBand="0" w:noVBand="1"/>
      </w:tblPr>
      <w:tblGrid>
        <w:gridCol w:w="4967"/>
        <w:gridCol w:w="1287"/>
      </w:tblGrid>
      <w:tr w:rsidR="00D120E6" w:rsidTr="00D120E6">
        <w:trPr>
          <w:trHeight w:val="495"/>
        </w:trPr>
        <w:tc>
          <w:tcPr>
            <w:tcW w:w="4967" w:type="dxa"/>
            <w:tcBorders>
              <w:top w:val="single" w:sz="4" w:space="0" w:color="auto"/>
              <w:left w:val="single" w:sz="4" w:space="0" w:color="auto"/>
              <w:bottom w:val="single" w:sz="4" w:space="0" w:color="auto"/>
              <w:right w:val="single" w:sz="4" w:space="0" w:color="000000"/>
            </w:tcBorders>
            <w:shd w:val="clear" w:color="auto" w:fill="C0C0C0"/>
            <w:hideMark/>
          </w:tcPr>
          <w:p w:rsidR="00D120E6" w:rsidRDefault="00D120E6">
            <w:pPr>
              <w:jc w:val="center"/>
              <w:rPr>
                <w:sz w:val="18"/>
                <w:szCs w:val="18"/>
                <w:lang w:eastAsia="uk-UA"/>
              </w:rPr>
            </w:pPr>
            <w:r>
              <w:rPr>
                <w:sz w:val="18"/>
                <w:szCs w:val="18"/>
                <w:lang w:eastAsia="uk-UA"/>
              </w:rPr>
              <w:t>Найменування показника</w:t>
            </w:r>
          </w:p>
        </w:tc>
        <w:tc>
          <w:tcPr>
            <w:tcW w:w="1287" w:type="dxa"/>
            <w:tcBorders>
              <w:top w:val="single" w:sz="4" w:space="0" w:color="auto"/>
              <w:left w:val="nil"/>
              <w:bottom w:val="single" w:sz="4" w:space="0" w:color="auto"/>
              <w:right w:val="single" w:sz="4" w:space="0" w:color="000000"/>
            </w:tcBorders>
            <w:shd w:val="clear" w:color="auto" w:fill="C0C0C0"/>
            <w:hideMark/>
          </w:tcPr>
          <w:p w:rsidR="00D120E6" w:rsidRDefault="00D120E6">
            <w:pPr>
              <w:jc w:val="center"/>
              <w:rPr>
                <w:sz w:val="18"/>
                <w:szCs w:val="18"/>
                <w:lang w:eastAsia="uk-UA"/>
              </w:rPr>
            </w:pPr>
            <w:r>
              <w:rPr>
                <w:sz w:val="18"/>
                <w:szCs w:val="18"/>
                <w:lang w:eastAsia="uk-UA"/>
              </w:rPr>
              <w:t>За звітний рік</w:t>
            </w:r>
          </w:p>
        </w:tc>
      </w:tr>
      <w:tr w:rsidR="00D120E6" w:rsidTr="00D120E6">
        <w:trPr>
          <w:trHeight w:val="285"/>
        </w:trPr>
        <w:tc>
          <w:tcPr>
            <w:tcW w:w="6254" w:type="dxa"/>
            <w:gridSpan w:val="2"/>
            <w:tcBorders>
              <w:top w:val="single" w:sz="4" w:space="0" w:color="auto"/>
              <w:left w:val="single" w:sz="4" w:space="0" w:color="auto"/>
              <w:bottom w:val="single" w:sz="4" w:space="0" w:color="auto"/>
              <w:right w:val="single" w:sz="4" w:space="0" w:color="000000"/>
            </w:tcBorders>
            <w:shd w:val="clear" w:color="auto" w:fill="C0C0C0"/>
            <w:hideMark/>
          </w:tcPr>
          <w:p w:rsidR="00D120E6" w:rsidRDefault="00D120E6">
            <w:pPr>
              <w:jc w:val="center"/>
              <w:rPr>
                <w:sz w:val="18"/>
                <w:szCs w:val="18"/>
                <w:lang w:eastAsia="uk-UA"/>
              </w:rPr>
            </w:pPr>
            <w:r>
              <w:rPr>
                <w:sz w:val="18"/>
                <w:szCs w:val="18"/>
                <w:lang w:eastAsia="uk-UA"/>
              </w:rPr>
              <w:t>Адміністративні витрати</w:t>
            </w:r>
          </w:p>
        </w:tc>
      </w:tr>
      <w:tr w:rsidR="00D120E6" w:rsidTr="00D120E6">
        <w:trPr>
          <w:trHeight w:val="285"/>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rPr>
                <w:sz w:val="18"/>
                <w:szCs w:val="18"/>
                <w:lang w:eastAsia="uk-UA"/>
              </w:rPr>
            </w:pPr>
            <w:r>
              <w:rPr>
                <w:sz w:val="18"/>
                <w:szCs w:val="18"/>
                <w:lang w:eastAsia="uk-UA"/>
              </w:rPr>
              <w:t>Матеріальні витрати</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AA2AEA">
            <w:pPr>
              <w:jc w:val="center"/>
              <w:rPr>
                <w:sz w:val="18"/>
                <w:szCs w:val="18"/>
                <w:lang w:eastAsia="uk-UA"/>
              </w:rPr>
            </w:pPr>
            <w:r>
              <w:rPr>
                <w:sz w:val="18"/>
                <w:szCs w:val="18"/>
                <w:lang w:eastAsia="uk-UA"/>
              </w:rPr>
              <w:t>32</w:t>
            </w:r>
          </w:p>
        </w:tc>
      </w:tr>
      <w:tr w:rsidR="00D120E6" w:rsidTr="00D120E6">
        <w:trPr>
          <w:trHeight w:val="285"/>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rPr>
                <w:sz w:val="18"/>
                <w:szCs w:val="18"/>
                <w:lang w:eastAsia="uk-UA"/>
              </w:rPr>
            </w:pPr>
            <w:r>
              <w:rPr>
                <w:sz w:val="18"/>
                <w:szCs w:val="18"/>
                <w:lang w:eastAsia="uk-UA"/>
              </w:rPr>
              <w:t>Витрати на виплати працівникам</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AA2AEA">
            <w:pPr>
              <w:jc w:val="center"/>
              <w:rPr>
                <w:sz w:val="18"/>
                <w:szCs w:val="18"/>
                <w:lang w:eastAsia="uk-UA"/>
              </w:rPr>
            </w:pPr>
            <w:r>
              <w:rPr>
                <w:sz w:val="18"/>
                <w:szCs w:val="18"/>
                <w:lang w:eastAsia="uk-UA"/>
              </w:rPr>
              <w:t>553</w:t>
            </w:r>
          </w:p>
        </w:tc>
      </w:tr>
      <w:tr w:rsidR="00CA3A85" w:rsidTr="00D120E6">
        <w:trPr>
          <w:trHeight w:val="285"/>
        </w:trPr>
        <w:tc>
          <w:tcPr>
            <w:tcW w:w="4967" w:type="dxa"/>
            <w:tcBorders>
              <w:top w:val="single" w:sz="4" w:space="0" w:color="auto"/>
              <w:left w:val="single" w:sz="4" w:space="0" w:color="auto"/>
              <w:bottom w:val="single" w:sz="4" w:space="0" w:color="auto"/>
              <w:right w:val="single" w:sz="4" w:space="0" w:color="auto"/>
            </w:tcBorders>
            <w:shd w:val="clear" w:color="auto" w:fill="FFFFFF"/>
          </w:tcPr>
          <w:p w:rsidR="00CA3A85" w:rsidRDefault="00CA3A85">
            <w:pPr>
              <w:rPr>
                <w:sz w:val="18"/>
                <w:szCs w:val="18"/>
                <w:lang w:eastAsia="uk-UA"/>
              </w:rPr>
            </w:pPr>
            <w:r>
              <w:rPr>
                <w:sz w:val="18"/>
                <w:szCs w:val="18"/>
                <w:lang w:eastAsia="uk-UA"/>
              </w:rPr>
              <w:t>Відрахування на соціальні заходи</w:t>
            </w:r>
          </w:p>
        </w:tc>
        <w:tc>
          <w:tcPr>
            <w:tcW w:w="1287" w:type="dxa"/>
            <w:tcBorders>
              <w:top w:val="single" w:sz="4" w:space="0" w:color="auto"/>
              <w:left w:val="nil"/>
              <w:bottom w:val="single" w:sz="4" w:space="0" w:color="auto"/>
              <w:right w:val="single" w:sz="4" w:space="0" w:color="auto"/>
            </w:tcBorders>
            <w:shd w:val="clear" w:color="auto" w:fill="FFFFFF"/>
          </w:tcPr>
          <w:p w:rsidR="00CA3A85" w:rsidRDefault="00AA2AEA">
            <w:pPr>
              <w:jc w:val="center"/>
              <w:rPr>
                <w:sz w:val="18"/>
                <w:szCs w:val="18"/>
                <w:lang w:eastAsia="uk-UA"/>
              </w:rPr>
            </w:pPr>
            <w:r>
              <w:rPr>
                <w:sz w:val="18"/>
                <w:szCs w:val="18"/>
                <w:lang w:eastAsia="uk-UA"/>
              </w:rPr>
              <w:t>106</w:t>
            </w:r>
          </w:p>
        </w:tc>
      </w:tr>
      <w:tr w:rsidR="00D120E6" w:rsidTr="00D120E6">
        <w:trPr>
          <w:trHeight w:val="285"/>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rPr>
                <w:sz w:val="18"/>
                <w:szCs w:val="18"/>
                <w:lang w:eastAsia="uk-UA"/>
              </w:rPr>
            </w:pPr>
            <w:r>
              <w:rPr>
                <w:sz w:val="18"/>
                <w:szCs w:val="18"/>
                <w:lang w:eastAsia="uk-UA"/>
              </w:rPr>
              <w:t>Витрати на амортизацію</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AA2AEA">
            <w:pPr>
              <w:jc w:val="center"/>
              <w:rPr>
                <w:sz w:val="18"/>
                <w:szCs w:val="18"/>
                <w:lang w:eastAsia="uk-UA"/>
              </w:rPr>
            </w:pPr>
            <w:r>
              <w:rPr>
                <w:sz w:val="18"/>
                <w:szCs w:val="18"/>
                <w:lang w:eastAsia="uk-UA"/>
              </w:rPr>
              <w:t>11</w:t>
            </w:r>
          </w:p>
        </w:tc>
      </w:tr>
      <w:tr w:rsidR="00D120E6" w:rsidTr="00CA3A85">
        <w:trPr>
          <w:trHeight w:val="423"/>
        </w:trPr>
        <w:tc>
          <w:tcPr>
            <w:tcW w:w="4967" w:type="dxa"/>
            <w:tcBorders>
              <w:top w:val="single" w:sz="4" w:space="0" w:color="auto"/>
              <w:left w:val="single" w:sz="4" w:space="0" w:color="auto"/>
              <w:bottom w:val="single" w:sz="4" w:space="0" w:color="auto"/>
              <w:right w:val="single" w:sz="4" w:space="0" w:color="000000"/>
            </w:tcBorders>
            <w:shd w:val="clear" w:color="auto" w:fill="FFFFFF"/>
            <w:hideMark/>
          </w:tcPr>
          <w:p w:rsidR="00D120E6" w:rsidRDefault="00D120E6">
            <w:pPr>
              <w:jc w:val="left"/>
              <w:rPr>
                <w:sz w:val="18"/>
                <w:szCs w:val="18"/>
                <w:lang w:eastAsia="uk-UA"/>
              </w:rPr>
            </w:pPr>
            <w:r>
              <w:rPr>
                <w:sz w:val="18"/>
                <w:szCs w:val="18"/>
                <w:lang w:eastAsia="uk-UA"/>
              </w:rPr>
              <w:t>Інші адміністративні витрати - оренда, утримання офісу, забезпечення діяльності</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AA2AEA">
            <w:pPr>
              <w:jc w:val="center"/>
              <w:rPr>
                <w:sz w:val="18"/>
                <w:szCs w:val="18"/>
                <w:lang w:eastAsia="uk-UA"/>
              </w:rPr>
            </w:pPr>
            <w:r>
              <w:rPr>
                <w:sz w:val="18"/>
                <w:szCs w:val="18"/>
                <w:lang w:eastAsia="uk-UA"/>
              </w:rPr>
              <w:t>247</w:t>
            </w:r>
          </w:p>
        </w:tc>
      </w:tr>
      <w:tr w:rsidR="00D120E6" w:rsidTr="00D120E6">
        <w:trPr>
          <w:trHeight w:val="330"/>
        </w:trPr>
        <w:tc>
          <w:tcPr>
            <w:tcW w:w="4967" w:type="dxa"/>
            <w:tcBorders>
              <w:top w:val="single" w:sz="4" w:space="0" w:color="auto"/>
              <w:left w:val="single" w:sz="4" w:space="0" w:color="auto"/>
              <w:bottom w:val="single" w:sz="4" w:space="0" w:color="auto"/>
              <w:right w:val="single" w:sz="4" w:space="0" w:color="000000"/>
            </w:tcBorders>
            <w:shd w:val="clear" w:color="auto" w:fill="FFFFFF"/>
            <w:hideMark/>
          </w:tcPr>
          <w:p w:rsidR="00D120E6" w:rsidRDefault="00D120E6">
            <w:pPr>
              <w:jc w:val="left"/>
              <w:rPr>
                <w:b/>
                <w:bCs/>
                <w:sz w:val="18"/>
                <w:szCs w:val="18"/>
                <w:lang w:eastAsia="uk-UA"/>
              </w:rPr>
            </w:pPr>
            <w:r>
              <w:rPr>
                <w:b/>
                <w:bCs/>
                <w:sz w:val="18"/>
                <w:szCs w:val="18"/>
                <w:lang w:eastAsia="uk-UA"/>
              </w:rPr>
              <w:t>Разом Адміністративні витрати</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AA2AEA">
            <w:pPr>
              <w:jc w:val="center"/>
              <w:rPr>
                <w:sz w:val="18"/>
                <w:szCs w:val="18"/>
                <w:lang w:eastAsia="uk-UA"/>
              </w:rPr>
            </w:pPr>
            <w:r>
              <w:rPr>
                <w:sz w:val="18"/>
                <w:szCs w:val="18"/>
                <w:lang w:eastAsia="uk-UA"/>
              </w:rPr>
              <w:t>949</w:t>
            </w:r>
          </w:p>
        </w:tc>
      </w:tr>
      <w:tr w:rsidR="00D120E6" w:rsidTr="00D120E6">
        <w:trPr>
          <w:trHeight w:val="285"/>
        </w:trPr>
        <w:tc>
          <w:tcPr>
            <w:tcW w:w="6254" w:type="dxa"/>
            <w:gridSpan w:val="2"/>
            <w:tcBorders>
              <w:top w:val="single" w:sz="4" w:space="0" w:color="auto"/>
              <w:left w:val="single" w:sz="4" w:space="0" w:color="auto"/>
              <w:bottom w:val="single" w:sz="4" w:space="0" w:color="auto"/>
              <w:right w:val="single" w:sz="4" w:space="0" w:color="000000"/>
            </w:tcBorders>
            <w:shd w:val="clear" w:color="auto" w:fill="C0C0C0"/>
            <w:hideMark/>
          </w:tcPr>
          <w:p w:rsidR="00D120E6" w:rsidRDefault="00D120E6">
            <w:pPr>
              <w:jc w:val="center"/>
              <w:rPr>
                <w:sz w:val="18"/>
                <w:szCs w:val="18"/>
                <w:lang w:eastAsia="uk-UA"/>
              </w:rPr>
            </w:pPr>
            <w:r>
              <w:rPr>
                <w:sz w:val="18"/>
                <w:szCs w:val="18"/>
              </w:rPr>
              <w:t>Інші операційні витрати</w:t>
            </w:r>
          </w:p>
        </w:tc>
      </w:tr>
      <w:tr w:rsidR="00D120E6" w:rsidTr="00CA3A85">
        <w:trPr>
          <w:trHeight w:val="495"/>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rPr>
                <w:sz w:val="18"/>
                <w:szCs w:val="18"/>
                <w:lang w:eastAsia="uk-UA"/>
              </w:rPr>
            </w:pPr>
            <w:r>
              <w:rPr>
                <w:sz w:val="18"/>
                <w:szCs w:val="18"/>
                <w:lang w:eastAsia="uk-UA"/>
              </w:rPr>
              <w:t>Витрати на нарахування резерву покриття втрат від неповернених позичок</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AA2AEA">
            <w:pPr>
              <w:jc w:val="center"/>
              <w:rPr>
                <w:sz w:val="18"/>
                <w:szCs w:val="18"/>
                <w:lang w:eastAsia="uk-UA"/>
              </w:rPr>
            </w:pPr>
            <w:r>
              <w:rPr>
                <w:sz w:val="18"/>
                <w:szCs w:val="18"/>
                <w:lang w:eastAsia="uk-UA"/>
              </w:rPr>
              <w:t>162</w:t>
            </w:r>
          </w:p>
        </w:tc>
      </w:tr>
      <w:tr w:rsidR="00D120E6" w:rsidTr="00CA3A85">
        <w:trPr>
          <w:trHeight w:val="276"/>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rPr>
                <w:sz w:val="18"/>
                <w:szCs w:val="18"/>
                <w:lang w:eastAsia="uk-UA"/>
              </w:rPr>
            </w:pPr>
            <w:r>
              <w:rPr>
                <w:sz w:val="18"/>
                <w:szCs w:val="18"/>
                <w:lang w:eastAsia="uk-UA"/>
              </w:rPr>
              <w:t>Витрати на списання процентів по кредитах</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D120E6">
            <w:pPr>
              <w:jc w:val="center"/>
              <w:rPr>
                <w:sz w:val="18"/>
                <w:szCs w:val="18"/>
                <w:lang w:eastAsia="uk-UA"/>
              </w:rPr>
            </w:pPr>
          </w:p>
        </w:tc>
      </w:tr>
      <w:tr w:rsidR="00D120E6" w:rsidTr="00CA3A85">
        <w:trPr>
          <w:trHeight w:val="265"/>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rPr>
                <w:sz w:val="18"/>
                <w:szCs w:val="18"/>
                <w:lang w:eastAsia="uk-UA"/>
              </w:rPr>
            </w:pPr>
            <w:r>
              <w:rPr>
                <w:sz w:val="18"/>
                <w:szCs w:val="18"/>
                <w:lang w:eastAsia="uk-UA"/>
              </w:rPr>
              <w:t>Ви</w:t>
            </w:r>
            <w:r w:rsidR="00CA3A85">
              <w:rPr>
                <w:sz w:val="18"/>
                <w:szCs w:val="18"/>
                <w:lang w:eastAsia="uk-UA"/>
              </w:rPr>
              <w:t>трати на сплату членських внесків до ВАКС</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AA2AEA">
            <w:pPr>
              <w:jc w:val="center"/>
              <w:rPr>
                <w:sz w:val="18"/>
                <w:szCs w:val="18"/>
                <w:lang w:eastAsia="uk-UA"/>
              </w:rPr>
            </w:pPr>
            <w:r>
              <w:rPr>
                <w:sz w:val="18"/>
                <w:szCs w:val="18"/>
                <w:lang w:eastAsia="uk-UA"/>
              </w:rPr>
              <w:t>17</w:t>
            </w:r>
          </w:p>
        </w:tc>
      </w:tr>
      <w:tr w:rsidR="00D120E6" w:rsidTr="00CA3A85">
        <w:trPr>
          <w:trHeight w:val="412"/>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rPr>
                <w:sz w:val="18"/>
                <w:szCs w:val="18"/>
                <w:lang w:eastAsia="uk-UA"/>
              </w:rPr>
            </w:pPr>
            <w:r>
              <w:rPr>
                <w:sz w:val="18"/>
                <w:szCs w:val="18"/>
                <w:lang w:eastAsia="uk-UA"/>
              </w:rPr>
              <w:t>Витрати на нарахування РЗПВ  на нараховані проценти</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AA2AEA">
            <w:pPr>
              <w:jc w:val="center"/>
              <w:rPr>
                <w:sz w:val="18"/>
                <w:szCs w:val="18"/>
                <w:lang w:eastAsia="uk-UA"/>
              </w:rPr>
            </w:pPr>
            <w:r>
              <w:rPr>
                <w:sz w:val="18"/>
                <w:szCs w:val="18"/>
                <w:lang w:eastAsia="uk-UA"/>
              </w:rPr>
              <w:t>30</w:t>
            </w:r>
          </w:p>
        </w:tc>
      </w:tr>
      <w:tr w:rsidR="00D120E6" w:rsidTr="00D120E6">
        <w:trPr>
          <w:trHeight w:val="285"/>
        </w:trPr>
        <w:tc>
          <w:tcPr>
            <w:tcW w:w="4967" w:type="dxa"/>
            <w:tcBorders>
              <w:top w:val="single" w:sz="4" w:space="0" w:color="auto"/>
              <w:left w:val="single" w:sz="4" w:space="0" w:color="auto"/>
              <w:bottom w:val="single" w:sz="4" w:space="0" w:color="auto"/>
              <w:right w:val="single" w:sz="4" w:space="0" w:color="000000"/>
            </w:tcBorders>
            <w:shd w:val="clear" w:color="auto" w:fill="FFFFFF"/>
            <w:hideMark/>
          </w:tcPr>
          <w:p w:rsidR="00D120E6" w:rsidRDefault="00D120E6">
            <w:pPr>
              <w:jc w:val="left"/>
              <w:rPr>
                <w:b/>
                <w:bCs/>
                <w:sz w:val="18"/>
                <w:szCs w:val="18"/>
                <w:lang w:eastAsia="uk-UA"/>
              </w:rPr>
            </w:pPr>
            <w:r>
              <w:rPr>
                <w:b/>
                <w:bCs/>
                <w:sz w:val="18"/>
                <w:szCs w:val="18"/>
                <w:lang w:eastAsia="uk-UA"/>
              </w:rPr>
              <w:t>Разом Інші операційні витрати</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AA2AEA">
            <w:pPr>
              <w:jc w:val="center"/>
              <w:rPr>
                <w:sz w:val="18"/>
                <w:szCs w:val="18"/>
                <w:lang w:eastAsia="uk-UA"/>
              </w:rPr>
            </w:pPr>
            <w:r>
              <w:rPr>
                <w:sz w:val="18"/>
                <w:szCs w:val="18"/>
                <w:lang w:eastAsia="uk-UA"/>
              </w:rPr>
              <w:t>209</w:t>
            </w:r>
          </w:p>
        </w:tc>
      </w:tr>
      <w:tr w:rsidR="00D120E6" w:rsidTr="00D120E6">
        <w:trPr>
          <w:trHeight w:val="285"/>
        </w:trPr>
        <w:tc>
          <w:tcPr>
            <w:tcW w:w="6254" w:type="dxa"/>
            <w:gridSpan w:val="2"/>
            <w:tcBorders>
              <w:top w:val="single" w:sz="4" w:space="0" w:color="auto"/>
              <w:left w:val="single" w:sz="4" w:space="0" w:color="auto"/>
              <w:bottom w:val="single" w:sz="4" w:space="0" w:color="auto"/>
              <w:right w:val="single" w:sz="4" w:space="0" w:color="000000"/>
            </w:tcBorders>
            <w:shd w:val="clear" w:color="auto" w:fill="C0C0C0"/>
            <w:hideMark/>
          </w:tcPr>
          <w:p w:rsidR="00D120E6" w:rsidRDefault="00D120E6">
            <w:pPr>
              <w:jc w:val="center"/>
              <w:rPr>
                <w:sz w:val="18"/>
                <w:szCs w:val="18"/>
                <w:lang w:eastAsia="uk-UA"/>
              </w:rPr>
            </w:pPr>
            <w:r>
              <w:rPr>
                <w:sz w:val="18"/>
                <w:szCs w:val="18"/>
              </w:rPr>
              <w:t>Фінансові витрати</w:t>
            </w:r>
          </w:p>
        </w:tc>
      </w:tr>
      <w:tr w:rsidR="00D120E6" w:rsidTr="00D120E6">
        <w:trPr>
          <w:trHeight w:val="720"/>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rPr>
                <w:sz w:val="18"/>
                <w:szCs w:val="18"/>
                <w:lang w:eastAsia="uk-UA"/>
              </w:rPr>
            </w:pPr>
            <w:r>
              <w:rPr>
                <w:sz w:val="18"/>
                <w:szCs w:val="18"/>
                <w:lang w:eastAsia="uk-UA"/>
              </w:rPr>
              <w:t>Нараховані проценти на внески (вклади) на депозитні рахунки членів кредитної спілки</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AA2AEA">
            <w:pPr>
              <w:jc w:val="center"/>
              <w:rPr>
                <w:sz w:val="18"/>
                <w:szCs w:val="18"/>
                <w:lang w:eastAsia="uk-UA"/>
              </w:rPr>
            </w:pPr>
            <w:r>
              <w:rPr>
                <w:sz w:val="18"/>
                <w:szCs w:val="18"/>
                <w:lang w:eastAsia="uk-UA"/>
              </w:rPr>
              <w:t>446</w:t>
            </w:r>
          </w:p>
        </w:tc>
      </w:tr>
      <w:tr w:rsidR="00D120E6" w:rsidTr="00D120E6">
        <w:trPr>
          <w:trHeight w:val="555"/>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rPr>
                <w:sz w:val="18"/>
                <w:szCs w:val="18"/>
                <w:lang w:eastAsia="uk-UA"/>
              </w:rPr>
            </w:pPr>
            <w:r>
              <w:rPr>
                <w:sz w:val="18"/>
                <w:szCs w:val="18"/>
                <w:lang w:eastAsia="uk-UA"/>
              </w:rPr>
              <w:t>Нараховані відсотки на додаткові пайові внески</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D120E6">
            <w:pPr>
              <w:jc w:val="center"/>
              <w:rPr>
                <w:sz w:val="18"/>
                <w:szCs w:val="18"/>
                <w:lang w:eastAsia="uk-UA"/>
              </w:rPr>
            </w:pPr>
          </w:p>
        </w:tc>
      </w:tr>
      <w:tr w:rsidR="00D120E6" w:rsidTr="00D120E6">
        <w:trPr>
          <w:trHeight w:val="810"/>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rPr>
                <w:sz w:val="18"/>
                <w:szCs w:val="18"/>
                <w:lang w:eastAsia="uk-UA"/>
              </w:rPr>
            </w:pPr>
            <w:r>
              <w:rPr>
                <w:sz w:val="18"/>
                <w:szCs w:val="18"/>
                <w:lang w:eastAsia="uk-UA"/>
              </w:rPr>
              <w:t>Нараховані проценти за фінансовими зобов'язаннями перед юридичними особами</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D120E6">
            <w:pPr>
              <w:jc w:val="center"/>
              <w:rPr>
                <w:sz w:val="18"/>
                <w:szCs w:val="18"/>
                <w:lang w:eastAsia="uk-UA"/>
              </w:rPr>
            </w:pPr>
          </w:p>
        </w:tc>
      </w:tr>
      <w:tr w:rsidR="00D120E6" w:rsidTr="00D120E6">
        <w:trPr>
          <w:trHeight w:val="285"/>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rPr>
                <w:sz w:val="18"/>
                <w:szCs w:val="18"/>
                <w:lang w:eastAsia="uk-UA"/>
              </w:rPr>
            </w:pPr>
            <w:r>
              <w:rPr>
                <w:sz w:val="18"/>
                <w:szCs w:val="18"/>
                <w:lang w:eastAsia="uk-UA"/>
              </w:rPr>
              <w:t>Разом Фінансові витрати</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AA2AEA">
            <w:pPr>
              <w:jc w:val="center"/>
              <w:rPr>
                <w:sz w:val="18"/>
                <w:szCs w:val="18"/>
                <w:lang w:eastAsia="uk-UA"/>
              </w:rPr>
            </w:pPr>
            <w:r>
              <w:rPr>
                <w:sz w:val="18"/>
                <w:szCs w:val="18"/>
                <w:lang w:eastAsia="uk-UA"/>
              </w:rPr>
              <w:t>446</w:t>
            </w:r>
          </w:p>
        </w:tc>
      </w:tr>
      <w:tr w:rsidR="00D120E6" w:rsidTr="00D120E6">
        <w:trPr>
          <w:trHeight w:val="285"/>
        </w:trPr>
        <w:tc>
          <w:tcPr>
            <w:tcW w:w="4967" w:type="dxa"/>
            <w:tcBorders>
              <w:top w:val="single" w:sz="4" w:space="0" w:color="auto"/>
              <w:left w:val="single" w:sz="4" w:space="0" w:color="auto"/>
              <w:bottom w:val="single" w:sz="4" w:space="0" w:color="auto"/>
              <w:right w:val="single" w:sz="4" w:space="0" w:color="auto"/>
            </w:tcBorders>
            <w:shd w:val="clear" w:color="auto" w:fill="D9D9D9"/>
            <w:hideMark/>
          </w:tcPr>
          <w:p w:rsidR="00D120E6" w:rsidRDefault="00D120E6">
            <w:pPr>
              <w:rPr>
                <w:b/>
                <w:bCs/>
                <w:sz w:val="18"/>
                <w:szCs w:val="18"/>
                <w:lang w:eastAsia="uk-UA"/>
              </w:rPr>
            </w:pPr>
            <w:r>
              <w:rPr>
                <w:b/>
                <w:bCs/>
                <w:sz w:val="18"/>
                <w:szCs w:val="18"/>
                <w:lang w:eastAsia="uk-UA"/>
              </w:rPr>
              <w:t>Разом витрати</w:t>
            </w:r>
          </w:p>
        </w:tc>
        <w:tc>
          <w:tcPr>
            <w:tcW w:w="1287" w:type="dxa"/>
            <w:tcBorders>
              <w:top w:val="single" w:sz="4" w:space="0" w:color="auto"/>
              <w:left w:val="nil"/>
              <w:bottom w:val="single" w:sz="4" w:space="0" w:color="auto"/>
              <w:right w:val="single" w:sz="4" w:space="0" w:color="auto"/>
            </w:tcBorders>
            <w:shd w:val="clear" w:color="auto" w:fill="D9D9D9"/>
          </w:tcPr>
          <w:p w:rsidR="00D120E6" w:rsidRDefault="00AA2AEA">
            <w:pPr>
              <w:jc w:val="center"/>
              <w:rPr>
                <w:sz w:val="18"/>
                <w:szCs w:val="18"/>
                <w:lang w:eastAsia="uk-UA"/>
              </w:rPr>
            </w:pPr>
            <w:r>
              <w:rPr>
                <w:sz w:val="18"/>
                <w:szCs w:val="18"/>
                <w:lang w:eastAsia="uk-UA"/>
              </w:rPr>
              <w:t>1604</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Інформація, що підтверджує статті, подані у звіті про рух грошових коштів (за прямим методом)</w:t>
      </w:r>
    </w:p>
    <w:p w:rsidR="00D120E6" w:rsidRDefault="00AA2AEA" w:rsidP="00C10884">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Примітка 6</w:t>
      </w:r>
      <w:r w:rsidR="00C10884">
        <w:t xml:space="preserve">.1 </w:t>
      </w:r>
      <w:r w:rsidR="00D120E6">
        <w:t>Надходження від боржників неустойки (штрафів, пені) (рядок 3035)</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статті Надходження від боржників неустойки (штрафів, пені) зазначено погашення штрафних санкцій по кредитних договорах, здійснені грошовими коштами.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A23AA5" w:rsidP="00C10884">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Примітка 6</w:t>
      </w:r>
      <w:r w:rsidR="00C10884">
        <w:t xml:space="preserve">.2 </w:t>
      </w:r>
      <w:r w:rsidR="00D120E6">
        <w:t>Надходження фінансових установ від повернення позик (рядок 3055)</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статті Надходження фінансових установ від повернення позик кредитна спілка відображає погашення по основній сумі кредитів, здійснені грошовими коштами.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A23AA5" w:rsidP="00C10884">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Примітка 6</w:t>
      </w:r>
      <w:r w:rsidR="00C10884">
        <w:t xml:space="preserve">.3 </w:t>
      </w:r>
      <w:r w:rsidR="00D120E6">
        <w:t>Інші надходження (рядок 3095)</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Деталізація статті Інші надходження наведена в таблиці нижче:</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5598" w:type="dxa"/>
        <w:tblInd w:w="103" w:type="dxa"/>
        <w:tblLook w:val="04A0" w:firstRow="1" w:lastRow="0" w:firstColumn="1" w:lastColumn="0" w:noHBand="0" w:noVBand="1"/>
      </w:tblPr>
      <w:tblGrid>
        <w:gridCol w:w="4258"/>
        <w:gridCol w:w="1340"/>
      </w:tblGrid>
      <w:tr w:rsidR="00D120E6" w:rsidTr="00D120E6">
        <w:trPr>
          <w:trHeight w:val="285"/>
        </w:trPr>
        <w:tc>
          <w:tcPr>
            <w:tcW w:w="4258" w:type="dxa"/>
            <w:tcBorders>
              <w:top w:val="single" w:sz="4" w:space="0" w:color="auto"/>
              <w:left w:val="single" w:sz="4" w:space="0" w:color="auto"/>
              <w:bottom w:val="nil"/>
              <w:right w:val="single" w:sz="4" w:space="0" w:color="auto"/>
            </w:tcBorders>
            <w:shd w:val="clear" w:color="auto" w:fill="C0C0C0"/>
            <w:vAlign w:val="center"/>
            <w:hideMark/>
          </w:tcPr>
          <w:p w:rsidR="00D120E6" w:rsidRDefault="00D120E6">
            <w:pPr>
              <w:jc w:val="center"/>
              <w:rPr>
                <w:sz w:val="18"/>
                <w:szCs w:val="18"/>
              </w:rPr>
            </w:pPr>
            <w:r>
              <w:rPr>
                <w:sz w:val="18"/>
                <w:szCs w:val="18"/>
              </w:rPr>
              <w:t>Найменування показника</w:t>
            </w:r>
          </w:p>
        </w:tc>
        <w:tc>
          <w:tcPr>
            <w:tcW w:w="13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8"/>
                <w:szCs w:val="18"/>
              </w:rPr>
            </w:pPr>
            <w:r>
              <w:rPr>
                <w:sz w:val="18"/>
                <w:szCs w:val="18"/>
              </w:rPr>
              <w:t xml:space="preserve">За звітний рік </w:t>
            </w:r>
          </w:p>
        </w:tc>
      </w:tr>
      <w:tr w:rsidR="00D120E6" w:rsidTr="00D120E6">
        <w:trPr>
          <w:trHeight w:val="285"/>
        </w:trPr>
        <w:tc>
          <w:tcPr>
            <w:tcW w:w="4258" w:type="dxa"/>
            <w:tcBorders>
              <w:top w:val="single" w:sz="4" w:space="0" w:color="auto"/>
              <w:left w:val="single" w:sz="4" w:space="0" w:color="auto"/>
              <w:bottom w:val="single" w:sz="4" w:space="0" w:color="auto"/>
              <w:right w:val="single" w:sz="4" w:space="0" w:color="auto"/>
            </w:tcBorders>
            <w:vAlign w:val="bottom"/>
            <w:hideMark/>
          </w:tcPr>
          <w:p w:rsidR="00D120E6" w:rsidRDefault="00D120E6">
            <w:pPr>
              <w:jc w:val="left"/>
              <w:rPr>
                <w:sz w:val="18"/>
                <w:szCs w:val="18"/>
              </w:rPr>
            </w:pPr>
            <w:r>
              <w:rPr>
                <w:sz w:val="18"/>
                <w:szCs w:val="18"/>
              </w:rPr>
              <w:lastRenderedPageBreak/>
              <w:t>Сплачені проценти за кредитами</w:t>
            </w:r>
          </w:p>
        </w:tc>
        <w:tc>
          <w:tcPr>
            <w:tcW w:w="1340" w:type="dxa"/>
            <w:tcBorders>
              <w:top w:val="single" w:sz="4" w:space="0" w:color="auto"/>
              <w:left w:val="nil"/>
              <w:bottom w:val="single" w:sz="4" w:space="0" w:color="auto"/>
              <w:right w:val="single" w:sz="4" w:space="0" w:color="auto"/>
            </w:tcBorders>
            <w:shd w:val="clear" w:color="auto" w:fill="FFFFFF"/>
            <w:vAlign w:val="center"/>
            <w:hideMark/>
          </w:tcPr>
          <w:p w:rsidR="00D120E6" w:rsidRDefault="00A23AA5">
            <w:pPr>
              <w:jc w:val="center"/>
              <w:rPr>
                <w:sz w:val="18"/>
                <w:szCs w:val="18"/>
              </w:rPr>
            </w:pPr>
            <w:r>
              <w:rPr>
                <w:sz w:val="18"/>
                <w:szCs w:val="18"/>
              </w:rPr>
              <w:t>1696</w:t>
            </w:r>
          </w:p>
        </w:tc>
      </w:tr>
      <w:tr w:rsidR="00D120E6" w:rsidTr="00D120E6">
        <w:trPr>
          <w:trHeight w:val="285"/>
        </w:trPr>
        <w:tc>
          <w:tcPr>
            <w:tcW w:w="4258" w:type="dxa"/>
            <w:tcBorders>
              <w:top w:val="single" w:sz="4" w:space="0" w:color="auto"/>
              <w:left w:val="single" w:sz="4" w:space="0" w:color="auto"/>
              <w:bottom w:val="single" w:sz="4" w:space="0" w:color="auto"/>
              <w:right w:val="single" w:sz="4" w:space="0" w:color="auto"/>
            </w:tcBorders>
            <w:vAlign w:val="bottom"/>
            <w:hideMark/>
          </w:tcPr>
          <w:p w:rsidR="00D120E6" w:rsidRDefault="00D120E6">
            <w:pPr>
              <w:jc w:val="left"/>
              <w:rPr>
                <w:sz w:val="18"/>
                <w:szCs w:val="18"/>
              </w:rPr>
            </w:pPr>
            <w:r>
              <w:rPr>
                <w:sz w:val="18"/>
                <w:szCs w:val="18"/>
              </w:rPr>
              <w:t>Надходження від юридичних осіб</w:t>
            </w:r>
          </w:p>
        </w:tc>
        <w:tc>
          <w:tcPr>
            <w:tcW w:w="1340" w:type="dxa"/>
            <w:tcBorders>
              <w:top w:val="single" w:sz="4" w:space="0" w:color="auto"/>
              <w:left w:val="nil"/>
              <w:bottom w:val="single" w:sz="4" w:space="0" w:color="auto"/>
              <w:right w:val="single" w:sz="4" w:space="0" w:color="auto"/>
            </w:tcBorders>
            <w:shd w:val="clear" w:color="auto" w:fill="FFFFFF"/>
            <w:vAlign w:val="center"/>
            <w:hideMark/>
          </w:tcPr>
          <w:p w:rsidR="00D120E6" w:rsidRDefault="00D120E6">
            <w:pPr>
              <w:jc w:val="center"/>
              <w:rPr>
                <w:sz w:val="18"/>
                <w:szCs w:val="18"/>
              </w:rPr>
            </w:pPr>
            <w:r>
              <w:rPr>
                <w:sz w:val="18"/>
                <w:szCs w:val="18"/>
              </w:rPr>
              <w:t> </w:t>
            </w:r>
          </w:p>
        </w:tc>
      </w:tr>
      <w:tr w:rsidR="00D120E6" w:rsidTr="00D120E6">
        <w:trPr>
          <w:trHeight w:val="285"/>
        </w:trPr>
        <w:tc>
          <w:tcPr>
            <w:tcW w:w="4258" w:type="dxa"/>
            <w:tcBorders>
              <w:top w:val="single" w:sz="4" w:space="0" w:color="auto"/>
              <w:left w:val="single" w:sz="4" w:space="0" w:color="auto"/>
              <w:bottom w:val="single" w:sz="4" w:space="0" w:color="auto"/>
              <w:right w:val="single" w:sz="4" w:space="0" w:color="auto"/>
            </w:tcBorders>
            <w:vAlign w:val="bottom"/>
            <w:hideMark/>
          </w:tcPr>
          <w:p w:rsidR="00D120E6" w:rsidRDefault="00D120E6">
            <w:pPr>
              <w:jc w:val="left"/>
              <w:rPr>
                <w:sz w:val="18"/>
                <w:szCs w:val="18"/>
              </w:rPr>
            </w:pPr>
            <w:r>
              <w:rPr>
                <w:sz w:val="18"/>
                <w:szCs w:val="18"/>
              </w:rPr>
              <w:t>Залучення внесків (вкладів) на депозитні рахунки</w:t>
            </w:r>
          </w:p>
        </w:tc>
        <w:tc>
          <w:tcPr>
            <w:tcW w:w="1340" w:type="dxa"/>
            <w:tcBorders>
              <w:top w:val="single" w:sz="4" w:space="0" w:color="auto"/>
              <w:left w:val="nil"/>
              <w:bottom w:val="single" w:sz="4" w:space="0" w:color="auto"/>
              <w:right w:val="single" w:sz="4" w:space="0" w:color="auto"/>
            </w:tcBorders>
            <w:shd w:val="clear" w:color="auto" w:fill="FFFFFF"/>
            <w:vAlign w:val="center"/>
            <w:hideMark/>
          </w:tcPr>
          <w:p w:rsidR="00D120E6" w:rsidRDefault="00D120E6">
            <w:pPr>
              <w:jc w:val="center"/>
              <w:rPr>
                <w:sz w:val="18"/>
                <w:szCs w:val="18"/>
              </w:rPr>
            </w:pPr>
            <w:r>
              <w:rPr>
                <w:sz w:val="18"/>
                <w:szCs w:val="18"/>
              </w:rPr>
              <w:t> </w:t>
            </w:r>
          </w:p>
        </w:tc>
      </w:tr>
      <w:tr w:rsidR="00D120E6" w:rsidTr="00D120E6">
        <w:trPr>
          <w:trHeight w:val="285"/>
        </w:trPr>
        <w:tc>
          <w:tcPr>
            <w:tcW w:w="4258" w:type="dxa"/>
            <w:tcBorders>
              <w:top w:val="single" w:sz="4" w:space="0" w:color="auto"/>
              <w:left w:val="single" w:sz="4" w:space="0" w:color="auto"/>
              <w:bottom w:val="single" w:sz="4" w:space="0" w:color="auto"/>
              <w:right w:val="single" w:sz="4" w:space="0" w:color="auto"/>
            </w:tcBorders>
            <w:vAlign w:val="bottom"/>
            <w:hideMark/>
          </w:tcPr>
          <w:p w:rsidR="00D120E6" w:rsidRDefault="00D120E6">
            <w:pPr>
              <w:jc w:val="left"/>
              <w:rPr>
                <w:sz w:val="18"/>
                <w:szCs w:val="18"/>
              </w:rPr>
            </w:pPr>
            <w:r>
              <w:rPr>
                <w:sz w:val="18"/>
                <w:szCs w:val="18"/>
              </w:rPr>
              <w:t>Внесення додаткових пайових внесків</w:t>
            </w:r>
          </w:p>
        </w:tc>
        <w:tc>
          <w:tcPr>
            <w:tcW w:w="1340" w:type="dxa"/>
            <w:tcBorders>
              <w:top w:val="single" w:sz="4" w:space="0" w:color="auto"/>
              <w:left w:val="nil"/>
              <w:bottom w:val="single" w:sz="4" w:space="0" w:color="auto"/>
              <w:right w:val="single" w:sz="4" w:space="0" w:color="auto"/>
            </w:tcBorders>
            <w:shd w:val="clear" w:color="auto" w:fill="FFFFFF"/>
            <w:vAlign w:val="center"/>
            <w:hideMark/>
          </w:tcPr>
          <w:p w:rsidR="00D120E6" w:rsidRDefault="00D120E6">
            <w:pPr>
              <w:jc w:val="center"/>
              <w:rPr>
                <w:sz w:val="18"/>
                <w:szCs w:val="18"/>
              </w:rPr>
            </w:pPr>
            <w:r>
              <w:rPr>
                <w:sz w:val="18"/>
                <w:szCs w:val="18"/>
              </w:rPr>
              <w:t> </w:t>
            </w:r>
            <w:r w:rsidR="00A23AA5">
              <w:rPr>
                <w:sz w:val="18"/>
                <w:szCs w:val="18"/>
              </w:rPr>
              <w:t>299</w:t>
            </w:r>
          </w:p>
        </w:tc>
      </w:tr>
      <w:tr w:rsidR="00D120E6" w:rsidTr="00D120E6">
        <w:trPr>
          <w:trHeight w:val="285"/>
        </w:trPr>
        <w:tc>
          <w:tcPr>
            <w:tcW w:w="4258" w:type="dxa"/>
            <w:tcBorders>
              <w:top w:val="single" w:sz="4" w:space="0" w:color="auto"/>
              <w:left w:val="single" w:sz="4" w:space="0" w:color="auto"/>
              <w:bottom w:val="single" w:sz="4" w:space="0" w:color="auto"/>
              <w:right w:val="single" w:sz="4" w:space="0" w:color="auto"/>
            </w:tcBorders>
            <w:vAlign w:val="bottom"/>
            <w:hideMark/>
          </w:tcPr>
          <w:p w:rsidR="00D120E6" w:rsidRDefault="00D120E6">
            <w:pPr>
              <w:jc w:val="left"/>
              <w:rPr>
                <w:sz w:val="18"/>
                <w:szCs w:val="18"/>
              </w:rPr>
            </w:pPr>
            <w:r>
              <w:rPr>
                <w:sz w:val="18"/>
                <w:szCs w:val="18"/>
              </w:rPr>
              <w:t xml:space="preserve">Внесення </w:t>
            </w:r>
            <w:proofErr w:type="spellStart"/>
            <w:r>
              <w:rPr>
                <w:sz w:val="18"/>
                <w:szCs w:val="18"/>
              </w:rPr>
              <w:t>зворотніх</w:t>
            </w:r>
            <w:proofErr w:type="spellEnd"/>
            <w:r>
              <w:rPr>
                <w:sz w:val="18"/>
                <w:szCs w:val="18"/>
              </w:rPr>
              <w:t xml:space="preserve"> цільових внесків у додатковий капітал</w:t>
            </w:r>
          </w:p>
        </w:tc>
        <w:tc>
          <w:tcPr>
            <w:tcW w:w="1340" w:type="dxa"/>
            <w:tcBorders>
              <w:top w:val="single" w:sz="4" w:space="0" w:color="auto"/>
              <w:left w:val="nil"/>
              <w:bottom w:val="single" w:sz="4" w:space="0" w:color="auto"/>
              <w:right w:val="single" w:sz="4" w:space="0" w:color="auto"/>
            </w:tcBorders>
            <w:shd w:val="clear" w:color="auto" w:fill="FFFFFF"/>
            <w:vAlign w:val="center"/>
            <w:hideMark/>
          </w:tcPr>
          <w:p w:rsidR="00D120E6" w:rsidRDefault="00A23AA5">
            <w:pPr>
              <w:jc w:val="center"/>
              <w:rPr>
                <w:sz w:val="18"/>
                <w:szCs w:val="18"/>
              </w:rPr>
            </w:pPr>
            <w:r>
              <w:rPr>
                <w:sz w:val="18"/>
                <w:szCs w:val="18"/>
              </w:rPr>
              <w:t>52</w:t>
            </w:r>
          </w:p>
        </w:tc>
      </w:tr>
      <w:tr w:rsidR="00D120E6" w:rsidTr="00D120E6">
        <w:trPr>
          <w:trHeight w:val="285"/>
        </w:trPr>
        <w:tc>
          <w:tcPr>
            <w:tcW w:w="4258" w:type="dxa"/>
            <w:tcBorders>
              <w:top w:val="single" w:sz="4" w:space="0" w:color="auto"/>
              <w:left w:val="single" w:sz="4" w:space="0" w:color="auto"/>
              <w:bottom w:val="single" w:sz="4" w:space="0" w:color="auto"/>
              <w:right w:val="single" w:sz="4" w:space="0" w:color="auto"/>
            </w:tcBorders>
            <w:vAlign w:val="bottom"/>
            <w:hideMark/>
          </w:tcPr>
          <w:p w:rsidR="00D120E6" w:rsidRDefault="00D120E6">
            <w:pPr>
              <w:jc w:val="left"/>
              <w:rPr>
                <w:sz w:val="18"/>
                <w:szCs w:val="18"/>
              </w:rPr>
            </w:pPr>
            <w:r>
              <w:rPr>
                <w:sz w:val="18"/>
                <w:szCs w:val="18"/>
              </w:rPr>
              <w:t>Відшкодування судових витрат</w:t>
            </w:r>
          </w:p>
        </w:tc>
        <w:tc>
          <w:tcPr>
            <w:tcW w:w="1340" w:type="dxa"/>
            <w:tcBorders>
              <w:top w:val="single" w:sz="4" w:space="0" w:color="auto"/>
              <w:left w:val="nil"/>
              <w:bottom w:val="single" w:sz="4" w:space="0" w:color="auto"/>
              <w:right w:val="single" w:sz="4" w:space="0" w:color="auto"/>
            </w:tcBorders>
            <w:shd w:val="clear" w:color="auto" w:fill="FFFFFF"/>
            <w:vAlign w:val="center"/>
            <w:hideMark/>
          </w:tcPr>
          <w:p w:rsidR="00D120E6" w:rsidRDefault="00D120E6">
            <w:pPr>
              <w:jc w:val="center"/>
              <w:rPr>
                <w:sz w:val="18"/>
                <w:szCs w:val="18"/>
              </w:rPr>
            </w:pPr>
            <w:r>
              <w:rPr>
                <w:sz w:val="18"/>
                <w:szCs w:val="18"/>
              </w:rPr>
              <w:t> </w:t>
            </w:r>
            <w:r w:rsidR="00A23AA5">
              <w:rPr>
                <w:sz w:val="18"/>
                <w:szCs w:val="18"/>
              </w:rPr>
              <w:t>8</w:t>
            </w:r>
          </w:p>
        </w:tc>
      </w:tr>
      <w:tr w:rsidR="00D120E6" w:rsidTr="00D120E6">
        <w:trPr>
          <w:trHeight w:val="285"/>
        </w:trPr>
        <w:tc>
          <w:tcPr>
            <w:tcW w:w="4258" w:type="dxa"/>
            <w:tcBorders>
              <w:top w:val="single" w:sz="4" w:space="0" w:color="auto"/>
              <w:left w:val="single" w:sz="4" w:space="0" w:color="auto"/>
              <w:bottom w:val="single" w:sz="4" w:space="0" w:color="auto"/>
              <w:right w:val="single" w:sz="4" w:space="0" w:color="auto"/>
            </w:tcBorders>
            <w:vAlign w:val="bottom"/>
            <w:hideMark/>
          </w:tcPr>
          <w:p w:rsidR="00D120E6" w:rsidRDefault="00D120E6">
            <w:pPr>
              <w:jc w:val="left"/>
              <w:rPr>
                <w:sz w:val="18"/>
                <w:szCs w:val="18"/>
              </w:rPr>
            </w:pPr>
            <w:r>
              <w:rPr>
                <w:sz w:val="18"/>
                <w:szCs w:val="18"/>
              </w:rPr>
              <w:t>Інше</w:t>
            </w:r>
          </w:p>
        </w:tc>
        <w:tc>
          <w:tcPr>
            <w:tcW w:w="1340" w:type="dxa"/>
            <w:tcBorders>
              <w:top w:val="single" w:sz="4" w:space="0" w:color="auto"/>
              <w:left w:val="nil"/>
              <w:bottom w:val="single" w:sz="4" w:space="0" w:color="auto"/>
              <w:right w:val="single" w:sz="4" w:space="0" w:color="auto"/>
            </w:tcBorders>
            <w:shd w:val="clear" w:color="auto" w:fill="FFFFFF"/>
            <w:vAlign w:val="center"/>
            <w:hideMark/>
          </w:tcPr>
          <w:p w:rsidR="00D120E6" w:rsidRDefault="00D120E6">
            <w:pPr>
              <w:jc w:val="center"/>
              <w:rPr>
                <w:sz w:val="18"/>
                <w:szCs w:val="18"/>
              </w:rPr>
            </w:pPr>
            <w:r>
              <w:rPr>
                <w:sz w:val="18"/>
                <w:szCs w:val="18"/>
              </w:rPr>
              <w:t> </w:t>
            </w:r>
            <w:r w:rsidR="00A23AA5">
              <w:rPr>
                <w:sz w:val="18"/>
                <w:szCs w:val="18"/>
              </w:rPr>
              <w:t>9</w:t>
            </w:r>
          </w:p>
        </w:tc>
      </w:tr>
      <w:tr w:rsidR="00D120E6" w:rsidTr="00D120E6">
        <w:trPr>
          <w:trHeight w:val="285"/>
        </w:trPr>
        <w:tc>
          <w:tcPr>
            <w:tcW w:w="425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8"/>
                <w:szCs w:val="18"/>
              </w:rPr>
            </w:pPr>
            <w:r>
              <w:rPr>
                <w:sz w:val="18"/>
                <w:szCs w:val="18"/>
              </w:rPr>
              <w:t>Разом інших надходжень</w:t>
            </w:r>
          </w:p>
        </w:tc>
        <w:tc>
          <w:tcPr>
            <w:tcW w:w="1340" w:type="dxa"/>
            <w:tcBorders>
              <w:top w:val="single" w:sz="4" w:space="0" w:color="auto"/>
              <w:left w:val="nil"/>
              <w:bottom w:val="single" w:sz="4" w:space="0" w:color="auto"/>
              <w:right w:val="single" w:sz="4" w:space="0" w:color="auto"/>
            </w:tcBorders>
            <w:shd w:val="clear" w:color="auto" w:fill="C0C0C0"/>
            <w:vAlign w:val="center"/>
            <w:hideMark/>
          </w:tcPr>
          <w:p w:rsidR="00D120E6" w:rsidRPr="00C10884" w:rsidRDefault="00A23AA5" w:rsidP="00A23AA5">
            <w:r>
              <w:t>2064</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A23AA5" w:rsidP="00C10884">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Примітка 6</w:t>
      </w:r>
      <w:r w:rsidR="00C10884">
        <w:t xml:space="preserve">.4 </w:t>
      </w:r>
      <w:r w:rsidR="00D120E6">
        <w:t>Витрачання на оплату Товарів (робіт, послуг) (рядок 3100)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статті Витрачання на оплату Товарів (робіт, послуг) кредитна спілка відображає сплачені грошові кошти постачальникам за послуги, товарно-матеріальні цінності, роботи, необхідні для забезпечення діяльності кредитної спілки.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D120E6" w:rsidRDefault="00A23AA5" w:rsidP="00C10884">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Примітка 6</w:t>
      </w:r>
      <w:r w:rsidR="00C10884">
        <w:t xml:space="preserve">.5 </w:t>
      </w:r>
      <w:r w:rsidR="00D120E6">
        <w:t>Витрачання на оплату праці (рядок 3105)</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статті Витрачання на оплату праці кредитна спілка зазначає фактично виплачені грошові кошти на оплату праці працівників.</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A23AA5" w:rsidP="00C10884">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Примітка 6</w:t>
      </w:r>
      <w:r w:rsidR="00C10884">
        <w:t xml:space="preserve">.6 </w:t>
      </w:r>
      <w:r w:rsidR="00D120E6">
        <w:t>Витрачання на оплату відрахувань на соціальні заходи (рядок 3110)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статті Витрачання на оплату відрахувань на соціальні заходи відображається фактично сплачений Єдиний соціальний внесок.</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A23AA5" w:rsidP="00C10884">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Примітка 6</w:t>
      </w:r>
      <w:r w:rsidR="00C10884">
        <w:t xml:space="preserve">.7 </w:t>
      </w:r>
      <w:r w:rsidR="00D120E6">
        <w:t>Витрачання на оплату зобов'язань з інших податків і зборів (рядок 3115)</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статті Витрачання на оплату зобов’язань з інших податків і зборів зазнач</w:t>
      </w:r>
      <w:r w:rsidR="00C10884">
        <w:t>а</w:t>
      </w:r>
      <w:r>
        <w:t>ються фактично направлені грошові кошти на оплату податку з доходів фізичних осіб, військового збору та інших обов’язкових платежів.</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A23AA5" w:rsidP="00C10884">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Примітка 6</w:t>
      </w:r>
      <w:r w:rsidR="00C10884">
        <w:t xml:space="preserve">.8 </w:t>
      </w:r>
      <w:r w:rsidR="00D120E6">
        <w:t>Витрачання фінансових установ на надання позик (рядок 3155)</w:t>
      </w:r>
    </w:p>
    <w:p w:rsidR="003365F7" w:rsidRDefault="003365F7" w:rsidP="003365F7"/>
    <w:p w:rsidR="003365F7" w:rsidRPr="003365F7" w:rsidRDefault="003365F7" w:rsidP="003365F7"/>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статті Витрачання фінансових установ на надання позик кредитна спілка зазначає суму виданих кредитів членам кредитної спілки. Зокрема, за звітний рік було надано:</w:t>
      </w:r>
    </w:p>
    <w:p w:rsidR="003365F7" w:rsidRDefault="003365F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365F7" w:rsidRDefault="003365F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365F7" w:rsidRDefault="003365F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7449" w:type="dxa"/>
        <w:tblInd w:w="103" w:type="dxa"/>
        <w:tblLook w:val="04A0" w:firstRow="1" w:lastRow="0" w:firstColumn="1" w:lastColumn="0" w:noHBand="0" w:noVBand="1"/>
      </w:tblPr>
      <w:tblGrid>
        <w:gridCol w:w="4967"/>
        <w:gridCol w:w="1354"/>
        <w:gridCol w:w="1128"/>
      </w:tblGrid>
      <w:tr w:rsidR="00D120E6" w:rsidTr="00D120E6">
        <w:trPr>
          <w:trHeight w:val="285"/>
        </w:trPr>
        <w:tc>
          <w:tcPr>
            <w:tcW w:w="496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b/>
                <w:bCs/>
                <w:sz w:val="18"/>
                <w:szCs w:val="18"/>
              </w:rPr>
            </w:pPr>
            <w:r>
              <w:rPr>
                <w:b/>
                <w:bCs/>
                <w:sz w:val="18"/>
                <w:szCs w:val="18"/>
              </w:rPr>
              <w:t>Найменування показника</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b/>
                <w:bCs/>
                <w:sz w:val="18"/>
                <w:szCs w:val="18"/>
              </w:rPr>
            </w:pPr>
            <w:r>
              <w:rPr>
                <w:b/>
                <w:bCs/>
                <w:sz w:val="18"/>
                <w:szCs w:val="18"/>
              </w:rPr>
              <w:t>Кількість укладених договорів</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b/>
                <w:bCs/>
                <w:sz w:val="18"/>
                <w:szCs w:val="18"/>
              </w:rPr>
            </w:pPr>
            <w:r>
              <w:rPr>
                <w:b/>
                <w:bCs/>
                <w:sz w:val="18"/>
                <w:szCs w:val="18"/>
              </w:rPr>
              <w:t xml:space="preserve">Сума </w:t>
            </w:r>
          </w:p>
          <w:p w:rsidR="00D120E6" w:rsidRDefault="00D120E6">
            <w:pPr>
              <w:jc w:val="center"/>
              <w:rPr>
                <w:b/>
                <w:bCs/>
                <w:sz w:val="18"/>
                <w:szCs w:val="18"/>
              </w:rPr>
            </w:pPr>
            <w:r>
              <w:rPr>
                <w:b/>
                <w:bCs/>
                <w:sz w:val="18"/>
                <w:szCs w:val="18"/>
              </w:rPr>
              <w:t>(тис. грн.)</w:t>
            </w:r>
          </w:p>
        </w:tc>
      </w:tr>
      <w:tr w:rsidR="00D120E6" w:rsidTr="00D120E6">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b/>
                <w:bCs/>
                <w:sz w:val="18"/>
                <w:szCs w:val="18"/>
              </w:rPr>
            </w:pPr>
          </w:p>
        </w:tc>
      </w:tr>
      <w:tr w:rsidR="00D120E6" w:rsidTr="00D120E6">
        <w:trPr>
          <w:trHeight w:val="285"/>
        </w:trPr>
        <w:tc>
          <w:tcPr>
            <w:tcW w:w="49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sz w:val="18"/>
                <w:szCs w:val="18"/>
              </w:rPr>
            </w:pPr>
            <w:r>
              <w:rPr>
                <w:sz w:val="18"/>
                <w:szCs w:val="18"/>
              </w:rPr>
              <w:t>Комерційні кредити</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center"/>
              <w:rPr>
                <w:sz w:val="18"/>
                <w:szCs w:val="18"/>
              </w:rPr>
            </w:pPr>
            <w:r>
              <w:rPr>
                <w:sz w:val="18"/>
                <w:szCs w:val="18"/>
              </w:rPr>
              <w:t> </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center"/>
              <w:rPr>
                <w:sz w:val="18"/>
                <w:szCs w:val="18"/>
              </w:rPr>
            </w:pPr>
            <w:r>
              <w:rPr>
                <w:sz w:val="18"/>
                <w:szCs w:val="18"/>
              </w:rPr>
              <w:t> </w:t>
            </w:r>
          </w:p>
        </w:tc>
      </w:tr>
      <w:tr w:rsidR="00D120E6" w:rsidTr="00D120E6">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r>
      <w:tr w:rsidR="00D120E6" w:rsidTr="00D120E6">
        <w:trPr>
          <w:trHeight w:val="285"/>
        </w:trPr>
        <w:tc>
          <w:tcPr>
            <w:tcW w:w="49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sz w:val="18"/>
                <w:szCs w:val="18"/>
              </w:rPr>
            </w:pPr>
            <w:r>
              <w:rPr>
                <w:sz w:val="18"/>
                <w:szCs w:val="18"/>
              </w:rPr>
              <w:t>Кредити, надані на ведення фермерських господарств</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center"/>
              <w:rPr>
                <w:sz w:val="18"/>
                <w:szCs w:val="18"/>
              </w:rPr>
            </w:pPr>
            <w:r>
              <w:rPr>
                <w:sz w:val="18"/>
                <w:szCs w:val="18"/>
              </w:rPr>
              <w:t> </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center"/>
              <w:rPr>
                <w:sz w:val="18"/>
                <w:szCs w:val="18"/>
              </w:rPr>
            </w:pPr>
            <w:r>
              <w:rPr>
                <w:sz w:val="18"/>
                <w:szCs w:val="18"/>
              </w:rPr>
              <w:t> </w:t>
            </w:r>
          </w:p>
        </w:tc>
      </w:tr>
      <w:tr w:rsidR="00D120E6" w:rsidTr="00D120E6">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r>
      <w:tr w:rsidR="00D120E6" w:rsidTr="00D120E6">
        <w:trPr>
          <w:trHeight w:val="285"/>
        </w:trPr>
        <w:tc>
          <w:tcPr>
            <w:tcW w:w="49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sz w:val="18"/>
                <w:szCs w:val="18"/>
              </w:rPr>
            </w:pPr>
            <w:r>
              <w:rPr>
                <w:sz w:val="18"/>
                <w:szCs w:val="18"/>
              </w:rPr>
              <w:t>Кредити, надані на ведення особистих селянських господарств</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center"/>
              <w:rPr>
                <w:sz w:val="18"/>
                <w:szCs w:val="18"/>
              </w:rPr>
            </w:pPr>
            <w:r>
              <w:rPr>
                <w:sz w:val="18"/>
                <w:szCs w:val="18"/>
              </w:rPr>
              <w:t> </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center"/>
              <w:rPr>
                <w:sz w:val="18"/>
                <w:szCs w:val="18"/>
              </w:rPr>
            </w:pPr>
            <w:r>
              <w:rPr>
                <w:sz w:val="18"/>
                <w:szCs w:val="18"/>
              </w:rPr>
              <w:t> </w:t>
            </w:r>
          </w:p>
        </w:tc>
      </w:tr>
      <w:tr w:rsidR="00D120E6" w:rsidTr="00D120E6">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r>
      <w:tr w:rsidR="00D120E6" w:rsidTr="00D120E6">
        <w:trPr>
          <w:trHeight w:val="285"/>
        </w:trPr>
        <w:tc>
          <w:tcPr>
            <w:tcW w:w="49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sz w:val="18"/>
                <w:szCs w:val="18"/>
              </w:rPr>
            </w:pPr>
            <w:r>
              <w:rPr>
                <w:sz w:val="18"/>
                <w:szCs w:val="18"/>
              </w:rPr>
              <w:t>Кредити, надані на придбання, будівництво, ремонт та реконструкцію нерухомого майна</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120E6" w:rsidRDefault="00D120E6">
            <w:pPr>
              <w:jc w:val="center"/>
              <w:rPr>
                <w:sz w:val="18"/>
                <w:szCs w:val="18"/>
              </w:rPr>
            </w:pP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120E6" w:rsidRDefault="00D120E6">
            <w:pPr>
              <w:jc w:val="center"/>
              <w:rPr>
                <w:sz w:val="18"/>
                <w:szCs w:val="18"/>
              </w:rPr>
            </w:pPr>
          </w:p>
        </w:tc>
      </w:tr>
      <w:tr w:rsidR="00D120E6" w:rsidTr="00D120E6">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r>
      <w:tr w:rsidR="00D120E6" w:rsidTr="00D120E6">
        <w:trPr>
          <w:trHeight w:val="285"/>
        </w:trPr>
        <w:tc>
          <w:tcPr>
            <w:tcW w:w="49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sz w:val="18"/>
                <w:szCs w:val="18"/>
              </w:rPr>
            </w:pPr>
            <w:r>
              <w:rPr>
                <w:sz w:val="18"/>
                <w:szCs w:val="18"/>
              </w:rPr>
              <w:t>Споживчі кредити</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120E6" w:rsidRDefault="00A23AA5">
            <w:pPr>
              <w:jc w:val="center"/>
              <w:rPr>
                <w:sz w:val="18"/>
                <w:szCs w:val="18"/>
              </w:rPr>
            </w:pPr>
            <w:r>
              <w:rPr>
                <w:sz w:val="18"/>
                <w:szCs w:val="18"/>
              </w:rPr>
              <w:t>242</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120E6" w:rsidRDefault="00A23AA5">
            <w:pPr>
              <w:jc w:val="center"/>
              <w:rPr>
                <w:sz w:val="18"/>
                <w:szCs w:val="18"/>
              </w:rPr>
            </w:pPr>
            <w:r>
              <w:rPr>
                <w:sz w:val="18"/>
                <w:szCs w:val="18"/>
              </w:rPr>
              <w:t>2902</w:t>
            </w:r>
          </w:p>
        </w:tc>
      </w:tr>
      <w:tr w:rsidR="00D120E6" w:rsidTr="00D120E6">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r>
      <w:tr w:rsidR="00D120E6" w:rsidTr="00D120E6">
        <w:trPr>
          <w:trHeight w:val="285"/>
        </w:trPr>
        <w:tc>
          <w:tcPr>
            <w:tcW w:w="496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left"/>
              <w:rPr>
                <w:b/>
                <w:bCs/>
                <w:sz w:val="18"/>
                <w:szCs w:val="18"/>
              </w:rPr>
            </w:pPr>
            <w:r>
              <w:rPr>
                <w:b/>
                <w:bCs/>
                <w:sz w:val="18"/>
                <w:szCs w:val="18"/>
              </w:rPr>
              <w:t xml:space="preserve">Всього надано кредитів </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120E6" w:rsidRDefault="00A23AA5">
            <w:pPr>
              <w:jc w:val="center"/>
              <w:rPr>
                <w:b/>
                <w:bCs/>
                <w:sz w:val="18"/>
                <w:szCs w:val="18"/>
              </w:rPr>
            </w:pPr>
            <w:r>
              <w:rPr>
                <w:b/>
                <w:bCs/>
                <w:sz w:val="18"/>
                <w:szCs w:val="18"/>
              </w:rPr>
              <w:t>242</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120E6" w:rsidRDefault="00A23AA5">
            <w:pPr>
              <w:jc w:val="center"/>
              <w:rPr>
                <w:b/>
                <w:bCs/>
                <w:sz w:val="18"/>
                <w:szCs w:val="18"/>
              </w:rPr>
            </w:pPr>
            <w:r>
              <w:rPr>
                <w:b/>
                <w:bCs/>
                <w:sz w:val="18"/>
                <w:szCs w:val="18"/>
              </w:rPr>
              <w:t>2902</w:t>
            </w:r>
          </w:p>
        </w:tc>
      </w:tr>
      <w:tr w:rsidR="00D120E6" w:rsidTr="00D120E6">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b/>
                <w:bCs/>
                <w:sz w:val="18"/>
                <w:szCs w:val="18"/>
              </w:rPr>
            </w:pPr>
          </w:p>
        </w:tc>
      </w:tr>
    </w:tbl>
    <w:p w:rsidR="00D120E6" w:rsidRDefault="00A23AA5" w:rsidP="00733728">
      <w:pPr>
        <w:pStyle w:val="a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t>Примітка 6</w:t>
      </w:r>
      <w:r w:rsidR="00733728">
        <w:t xml:space="preserve">.9 </w:t>
      </w:r>
      <w:r w:rsidR="00D120E6">
        <w:t>Інші витрачання (рядок 3190)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Деталізація статті Інші витрачання наведена в таблиці нижче:</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7582" w:type="dxa"/>
        <w:tblInd w:w="103" w:type="dxa"/>
        <w:tblLook w:val="04A0" w:firstRow="1" w:lastRow="0" w:firstColumn="1" w:lastColumn="0" w:noHBand="0" w:noVBand="1"/>
      </w:tblPr>
      <w:tblGrid>
        <w:gridCol w:w="6242"/>
        <w:gridCol w:w="1340"/>
      </w:tblGrid>
      <w:tr w:rsidR="00D120E6" w:rsidTr="00D120E6">
        <w:trPr>
          <w:trHeight w:val="285"/>
        </w:trPr>
        <w:tc>
          <w:tcPr>
            <w:tcW w:w="6242" w:type="dxa"/>
            <w:tcBorders>
              <w:top w:val="single" w:sz="4" w:space="0" w:color="auto"/>
              <w:left w:val="single" w:sz="4" w:space="0" w:color="auto"/>
              <w:bottom w:val="nil"/>
              <w:right w:val="single" w:sz="4" w:space="0" w:color="auto"/>
            </w:tcBorders>
            <w:shd w:val="clear" w:color="auto" w:fill="C0C0C0"/>
            <w:vAlign w:val="center"/>
            <w:hideMark/>
          </w:tcPr>
          <w:p w:rsidR="00D120E6" w:rsidRDefault="00D120E6">
            <w:pPr>
              <w:jc w:val="center"/>
              <w:rPr>
                <w:sz w:val="18"/>
                <w:szCs w:val="18"/>
                <w:lang w:eastAsia="uk-UA"/>
              </w:rPr>
            </w:pPr>
            <w:r>
              <w:rPr>
                <w:sz w:val="18"/>
                <w:szCs w:val="18"/>
                <w:lang w:eastAsia="uk-UA"/>
              </w:rPr>
              <w:t>Найменування показника</w:t>
            </w:r>
          </w:p>
        </w:tc>
        <w:tc>
          <w:tcPr>
            <w:tcW w:w="13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8"/>
                <w:szCs w:val="18"/>
                <w:lang w:eastAsia="uk-UA"/>
              </w:rPr>
            </w:pPr>
            <w:r>
              <w:rPr>
                <w:sz w:val="18"/>
                <w:szCs w:val="18"/>
                <w:lang w:eastAsia="uk-UA"/>
              </w:rPr>
              <w:t xml:space="preserve">За звітний рік </w:t>
            </w:r>
          </w:p>
        </w:tc>
      </w:tr>
      <w:tr w:rsidR="00D120E6" w:rsidTr="00D120E6">
        <w:trPr>
          <w:trHeight w:val="555"/>
        </w:trPr>
        <w:tc>
          <w:tcPr>
            <w:tcW w:w="6242"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Повернення внесків членам кредитної спілки</w:t>
            </w:r>
          </w:p>
        </w:tc>
        <w:tc>
          <w:tcPr>
            <w:tcW w:w="1340" w:type="dxa"/>
            <w:tcBorders>
              <w:top w:val="single" w:sz="4" w:space="0" w:color="auto"/>
              <w:left w:val="nil"/>
              <w:bottom w:val="single" w:sz="4" w:space="0" w:color="auto"/>
              <w:right w:val="single" w:sz="4" w:space="0" w:color="auto"/>
            </w:tcBorders>
            <w:shd w:val="clear" w:color="auto" w:fill="FFFFFF"/>
            <w:vAlign w:val="center"/>
          </w:tcPr>
          <w:p w:rsidR="00D120E6" w:rsidRDefault="00A23AA5">
            <w:pPr>
              <w:jc w:val="center"/>
              <w:rPr>
                <w:sz w:val="18"/>
                <w:szCs w:val="18"/>
                <w:lang w:eastAsia="uk-UA"/>
              </w:rPr>
            </w:pPr>
            <w:r>
              <w:rPr>
                <w:sz w:val="18"/>
                <w:szCs w:val="18"/>
                <w:lang w:eastAsia="uk-UA"/>
              </w:rPr>
              <w:t>512</w:t>
            </w:r>
          </w:p>
        </w:tc>
      </w:tr>
      <w:tr w:rsidR="00D120E6" w:rsidTr="00D120E6">
        <w:trPr>
          <w:trHeight w:val="780"/>
        </w:trPr>
        <w:tc>
          <w:tcPr>
            <w:tcW w:w="6242"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Виплата процентів за внесками (вкладами) на депозитні рахунки членам кредитної спілки</w:t>
            </w:r>
          </w:p>
        </w:tc>
        <w:tc>
          <w:tcPr>
            <w:tcW w:w="1340" w:type="dxa"/>
            <w:tcBorders>
              <w:top w:val="single" w:sz="4" w:space="0" w:color="auto"/>
              <w:left w:val="nil"/>
              <w:bottom w:val="single" w:sz="4" w:space="0" w:color="auto"/>
              <w:right w:val="single" w:sz="4" w:space="0" w:color="auto"/>
            </w:tcBorders>
            <w:shd w:val="clear" w:color="auto" w:fill="FFFFFF"/>
            <w:vAlign w:val="center"/>
          </w:tcPr>
          <w:p w:rsidR="00D120E6" w:rsidRDefault="00A23AA5">
            <w:pPr>
              <w:jc w:val="center"/>
              <w:rPr>
                <w:sz w:val="18"/>
                <w:szCs w:val="18"/>
                <w:lang w:eastAsia="uk-UA"/>
              </w:rPr>
            </w:pPr>
            <w:r>
              <w:rPr>
                <w:sz w:val="18"/>
                <w:szCs w:val="18"/>
                <w:lang w:eastAsia="uk-UA"/>
              </w:rPr>
              <w:t>768</w:t>
            </w:r>
          </w:p>
        </w:tc>
      </w:tr>
      <w:tr w:rsidR="00D120E6" w:rsidTr="00D120E6">
        <w:trPr>
          <w:trHeight w:val="615"/>
        </w:trPr>
        <w:tc>
          <w:tcPr>
            <w:tcW w:w="6242"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Погашення фінансових зобов'язань перед юридичними особами</w:t>
            </w:r>
          </w:p>
        </w:tc>
        <w:tc>
          <w:tcPr>
            <w:tcW w:w="1340" w:type="dxa"/>
            <w:tcBorders>
              <w:top w:val="single" w:sz="4" w:space="0" w:color="auto"/>
              <w:left w:val="nil"/>
              <w:bottom w:val="single" w:sz="4" w:space="0" w:color="auto"/>
              <w:right w:val="single" w:sz="4" w:space="0" w:color="auto"/>
            </w:tcBorders>
            <w:shd w:val="clear" w:color="auto" w:fill="FFFFFF"/>
            <w:vAlign w:val="center"/>
          </w:tcPr>
          <w:p w:rsidR="00D120E6" w:rsidRDefault="00D120E6">
            <w:pPr>
              <w:jc w:val="center"/>
              <w:rPr>
                <w:sz w:val="18"/>
                <w:szCs w:val="18"/>
                <w:lang w:eastAsia="uk-UA"/>
              </w:rPr>
            </w:pPr>
          </w:p>
        </w:tc>
      </w:tr>
      <w:tr w:rsidR="00D120E6" w:rsidTr="00D120E6">
        <w:trPr>
          <w:trHeight w:val="585"/>
        </w:trPr>
        <w:tc>
          <w:tcPr>
            <w:tcW w:w="6242"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Сплата процентів по фінансових зобов'язаннях юридичним особам</w:t>
            </w:r>
          </w:p>
        </w:tc>
        <w:tc>
          <w:tcPr>
            <w:tcW w:w="1340" w:type="dxa"/>
            <w:tcBorders>
              <w:top w:val="single" w:sz="4" w:space="0" w:color="auto"/>
              <w:left w:val="nil"/>
              <w:bottom w:val="single" w:sz="4" w:space="0" w:color="auto"/>
              <w:right w:val="single" w:sz="4" w:space="0" w:color="auto"/>
            </w:tcBorders>
            <w:shd w:val="clear" w:color="auto" w:fill="FFFFFF"/>
            <w:vAlign w:val="center"/>
          </w:tcPr>
          <w:p w:rsidR="00D120E6" w:rsidRDefault="00D120E6">
            <w:pPr>
              <w:jc w:val="center"/>
              <w:rPr>
                <w:sz w:val="18"/>
                <w:szCs w:val="18"/>
                <w:lang w:eastAsia="uk-UA"/>
              </w:rPr>
            </w:pPr>
          </w:p>
        </w:tc>
      </w:tr>
      <w:tr w:rsidR="00D120E6" w:rsidTr="00D120E6">
        <w:trPr>
          <w:trHeight w:val="555"/>
        </w:trPr>
        <w:tc>
          <w:tcPr>
            <w:tcW w:w="6242"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Сплата судового збору</w:t>
            </w:r>
          </w:p>
        </w:tc>
        <w:tc>
          <w:tcPr>
            <w:tcW w:w="1340" w:type="dxa"/>
            <w:tcBorders>
              <w:top w:val="single" w:sz="4" w:space="0" w:color="auto"/>
              <w:left w:val="nil"/>
              <w:bottom w:val="single" w:sz="4" w:space="0" w:color="auto"/>
              <w:right w:val="single" w:sz="4" w:space="0" w:color="auto"/>
            </w:tcBorders>
            <w:shd w:val="clear" w:color="auto" w:fill="FFFFFF"/>
            <w:vAlign w:val="center"/>
          </w:tcPr>
          <w:p w:rsidR="00D120E6" w:rsidRDefault="00A23AA5">
            <w:pPr>
              <w:jc w:val="center"/>
              <w:rPr>
                <w:sz w:val="18"/>
                <w:szCs w:val="18"/>
                <w:lang w:eastAsia="uk-UA"/>
              </w:rPr>
            </w:pPr>
            <w:r>
              <w:rPr>
                <w:sz w:val="18"/>
                <w:szCs w:val="18"/>
                <w:lang w:eastAsia="uk-UA"/>
              </w:rPr>
              <w:t>28</w:t>
            </w:r>
          </w:p>
        </w:tc>
      </w:tr>
      <w:tr w:rsidR="00D120E6" w:rsidTr="00D120E6">
        <w:trPr>
          <w:trHeight w:val="600"/>
        </w:trPr>
        <w:tc>
          <w:tcPr>
            <w:tcW w:w="6242"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Виплата відсотків за пайовими внесками членів кредитної спілки</w:t>
            </w:r>
          </w:p>
        </w:tc>
        <w:tc>
          <w:tcPr>
            <w:tcW w:w="1340" w:type="dxa"/>
            <w:tcBorders>
              <w:top w:val="single" w:sz="4" w:space="0" w:color="auto"/>
              <w:left w:val="nil"/>
              <w:bottom w:val="single" w:sz="4" w:space="0" w:color="auto"/>
              <w:right w:val="single" w:sz="4" w:space="0" w:color="auto"/>
            </w:tcBorders>
            <w:shd w:val="clear" w:color="auto" w:fill="FFFFFF"/>
            <w:vAlign w:val="center"/>
          </w:tcPr>
          <w:p w:rsidR="00D120E6" w:rsidRDefault="00D120E6">
            <w:pPr>
              <w:jc w:val="center"/>
              <w:rPr>
                <w:sz w:val="18"/>
                <w:szCs w:val="18"/>
                <w:lang w:eastAsia="uk-UA"/>
              </w:rPr>
            </w:pPr>
          </w:p>
        </w:tc>
      </w:tr>
      <w:tr w:rsidR="00D120E6" w:rsidTr="00D120E6">
        <w:trPr>
          <w:trHeight w:val="285"/>
        </w:trPr>
        <w:tc>
          <w:tcPr>
            <w:tcW w:w="6242"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Інше</w:t>
            </w:r>
          </w:p>
        </w:tc>
        <w:tc>
          <w:tcPr>
            <w:tcW w:w="1340" w:type="dxa"/>
            <w:tcBorders>
              <w:top w:val="single" w:sz="4" w:space="0" w:color="auto"/>
              <w:left w:val="nil"/>
              <w:bottom w:val="single" w:sz="4" w:space="0" w:color="auto"/>
              <w:right w:val="single" w:sz="4" w:space="0" w:color="auto"/>
            </w:tcBorders>
            <w:shd w:val="clear" w:color="auto" w:fill="FFFFFF"/>
            <w:vAlign w:val="center"/>
          </w:tcPr>
          <w:p w:rsidR="00D120E6" w:rsidRDefault="00A23AA5">
            <w:pPr>
              <w:jc w:val="center"/>
              <w:rPr>
                <w:sz w:val="18"/>
                <w:szCs w:val="18"/>
                <w:lang w:eastAsia="uk-UA"/>
              </w:rPr>
            </w:pPr>
            <w:r>
              <w:rPr>
                <w:sz w:val="18"/>
                <w:szCs w:val="18"/>
                <w:lang w:eastAsia="uk-UA"/>
              </w:rPr>
              <w:t>26</w:t>
            </w:r>
          </w:p>
        </w:tc>
      </w:tr>
      <w:tr w:rsidR="00D120E6" w:rsidTr="00D120E6">
        <w:trPr>
          <w:trHeight w:val="285"/>
        </w:trPr>
        <w:tc>
          <w:tcPr>
            <w:tcW w:w="624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left"/>
              <w:rPr>
                <w:sz w:val="18"/>
                <w:szCs w:val="18"/>
                <w:lang w:eastAsia="uk-UA"/>
              </w:rPr>
            </w:pPr>
            <w:r>
              <w:rPr>
                <w:sz w:val="18"/>
                <w:szCs w:val="18"/>
                <w:lang w:eastAsia="uk-UA"/>
              </w:rPr>
              <w:t>Разом інших надходжень</w:t>
            </w:r>
          </w:p>
        </w:tc>
        <w:tc>
          <w:tcPr>
            <w:tcW w:w="1340" w:type="dxa"/>
            <w:tcBorders>
              <w:top w:val="single" w:sz="4" w:space="0" w:color="auto"/>
              <w:left w:val="nil"/>
              <w:bottom w:val="single" w:sz="4" w:space="0" w:color="auto"/>
              <w:right w:val="single" w:sz="4" w:space="0" w:color="auto"/>
            </w:tcBorders>
            <w:shd w:val="clear" w:color="auto" w:fill="C0C0C0"/>
            <w:vAlign w:val="center"/>
          </w:tcPr>
          <w:p w:rsidR="00D120E6" w:rsidRDefault="00A23AA5">
            <w:pPr>
              <w:jc w:val="center"/>
              <w:rPr>
                <w:sz w:val="18"/>
                <w:szCs w:val="18"/>
                <w:lang w:eastAsia="uk-UA"/>
              </w:rPr>
            </w:pPr>
            <w:r>
              <w:rPr>
                <w:sz w:val="18"/>
                <w:szCs w:val="18"/>
                <w:lang w:eastAsia="uk-UA"/>
              </w:rPr>
              <w:t>1334</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Інформація, що підтверджує статті, подані у звіті про власний капітал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У Звіті про власний капітал кредитна спілка відображає рух власного капіталу в розрізі складових капіталу, визнаного відповідно до МСФЗ.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 графі 3:</w:t>
      </w:r>
    </w:p>
    <w:p w:rsidR="0053603F"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рядку 4240 відображаються внесені членами кредитної спілки внески до пайового капіталу, які можуть бути повернені тільки при припиненні членства. В рядку 4275 відображаються внески, повернені особам, які припинили членство в кредитній спілці, або визнані до повернення та переведені до складу зобов’язань кредитної спілки.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 графі 6:</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рядку 4210 зазначається сума відрахувань до резервного капіталу за рішеннями органів управління, зокрема, за </w:t>
      </w:r>
      <w:r w:rsidR="00A23AA5">
        <w:t>рішенням спостережної ради  123</w:t>
      </w:r>
      <w:r w:rsidR="00733728">
        <w:t xml:space="preserve"> тис. </w:t>
      </w:r>
      <w:r w:rsidR="00A23AA5">
        <w:t xml:space="preserve">грн.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рядку 4240 відображаються внески членів в резервний капітал відповідно до Статуту кредитної спілки та внутрішніх положень.</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рядку 4290 відображається використання резервного капіталу на покриття збитків у порядку, визначеному загальними зборами кредитної спілки у відповідності до чинного законодавства за рішенням спостережної ради кредитної спілки.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 графі 7</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 рядку 4100 відображено фінансовий результат діяльності, визначений у відповідності до Міжнародних стандартів фінансової звітності.</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рядку 4210 відображено відрахування до резервного капіталу.</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Графи 4,</w:t>
      </w:r>
      <w:r w:rsidR="00EF4D7F">
        <w:t>5,</w:t>
      </w:r>
      <w:r>
        <w:t xml:space="preserve"> 8 та 9 кредитною спілкою не заповнюються.</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10000" w:type="dxa"/>
        <w:tblInd w:w="103" w:type="dxa"/>
        <w:tblLook w:val="04A0" w:firstRow="1" w:lastRow="0" w:firstColumn="1" w:lastColumn="0" w:noHBand="0" w:noVBand="1"/>
      </w:tblPr>
      <w:tblGrid>
        <w:gridCol w:w="4080"/>
        <w:gridCol w:w="5920"/>
      </w:tblGrid>
      <w:tr w:rsidR="00D120E6" w:rsidTr="00D120E6">
        <w:trPr>
          <w:trHeight w:val="285"/>
        </w:trPr>
        <w:tc>
          <w:tcPr>
            <w:tcW w:w="10000"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jc w:val="center"/>
              <w:rPr>
                <w:b/>
                <w:bCs/>
                <w:sz w:val="20"/>
                <w:szCs w:val="20"/>
                <w:lang w:eastAsia="uk-UA"/>
              </w:rPr>
            </w:pPr>
            <w:r>
              <w:rPr>
                <w:b/>
                <w:bCs/>
                <w:sz w:val="20"/>
                <w:szCs w:val="20"/>
                <w:lang w:eastAsia="uk-UA"/>
              </w:rPr>
              <w:t xml:space="preserve">Розрахунок нормативів достатності капіталу та платоспроможності </w:t>
            </w:r>
          </w:p>
        </w:tc>
      </w:tr>
      <w:tr w:rsidR="00D120E6" w:rsidTr="00D120E6">
        <w:trPr>
          <w:trHeight w:val="1080"/>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b/>
                <w:bCs/>
                <w:sz w:val="20"/>
                <w:szCs w:val="20"/>
                <w:lang w:eastAsia="uk-UA"/>
              </w:rPr>
            </w:pPr>
            <w:r>
              <w:rPr>
                <w:b/>
                <w:bCs/>
                <w:sz w:val="20"/>
                <w:szCs w:val="20"/>
                <w:lang w:eastAsia="uk-UA"/>
              </w:rPr>
              <w:t>2.2.1. Достатність капіталу</w:t>
            </w:r>
          </w:p>
        </w:tc>
        <w:tc>
          <w:tcPr>
            <w:tcW w:w="5920"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rPr>
                <w:sz w:val="20"/>
                <w:szCs w:val="20"/>
                <w:lang w:eastAsia="uk-UA"/>
              </w:rPr>
            </w:pPr>
            <w:r>
              <w:rPr>
                <w:sz w:val="20"/>
                <w:szCs w:val="20"/>
                <w:lang w:eastAsia="uk-UA"/>
              </w:rPr>
              <w:t>Капітал кредитної спілки не може бути меншим, ніж 10 відсотків від суми її загальних зобов'язань. Контроль за дотриманням цього нормативу здійснюється щоденно на початок робочого дня. На дату звітності фактичне значення н</w:t>
            </w:r>
            <w:r w:rsidR="00EF4D7F">
              <w:rPr>
                <w:sz w:val="20"/>
                <w:szCs w:val="20"/>
                <w:lang w:eastAsia="uk-UA"/>
              </w:rPr>
              <w:t>ормативу становить 160,1</w:t>
            </w:r>
            <w:r>
              <w:rPr>
                <w:sz w:val="20"/>
                <w:szCs w:val="20"/>
                <w:lang w:eastAsia="uk-UA"/>
              </w:rPr>
              <w:t>%</w:t>
            </w:r>
          </w:p>
        </w:tc>
      </w:tr>
      <w:tr w:rsidR="00D120E6" w:rsidTr="00D120E6">
        <w:trPr>
          <w:trHeight w:val="1875"/>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b/>
                <w:bCs/>
                <w:sz w:val="20"/>
                <w:szCs w:val="20"/>
                <w:lang w:eastAsia="uk-UA"/>
              </w:rPr>
            </w:pPr>
            <w:r>
              <w:rPr>
                <w:b/>
                <w:bCs/>
                <w:sz w:val="20"/>
                <w:szCs w:val="20"/>
                <w:lang w:eastAsia="uk-UA"/>
              </w:rPr>
              <w:lastRenderedPageBreak/>
              <w:t>2.2.2. Коефіцієнт платоспроможності</w:t>
            </w:r>
          </w:p>
        </w:tc>
        <w:tc>
          <w:tcPr>
            <w:tcW w:w="5920"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rPr>
                <w:sz w:val="20"/>
                <w:szCs w:val="20"/>
                <w:lang w:eastAsia="uk-UA"/>
              </w:rPr>
            </w:pPr>
            <w:r>
              <w:rPr>
                <w:sz w:val="20"/>
                <w:szCs w:val="20"/>
                <w:lang w:eastAsia="uk-UA"/>
              </w:rPr>
              <w:t xml:space="preserve">Коефіцієнт платоспроможності визначається як співвідношення регулятивного капіталу (власних коштів) кредитної спілки до сумарних активів, зважених за ступенем ризику та суми залишку зобов'язань членів кредитної спілки перед третіми особами, за якими кредитна спілка виступає поручителем, зважених за ступенем ризику. Нормативне значення не менше 7-8%. Станом на дату звітності фактичне </w:t>
            </w:r>
            <w:r w:rsidR="00A84C4B">
              <w:rPr>
                <w:sz w:val="20"/>
                <w:szCs w:val="20"/>
                <w:lang w:eastAsia="uk-UA"/>
              </w:rPr>
              <w:t>з</w:t>
            </w:r>
            <w:r w:rsidR="00EF4D7F">
              <w:rPr>
                <w:sz w:val="20"/>
                <w:szCs w:val="20"/>
                <w:lang w:eastAsia="uk-UA"/>
              </w:rPr>
              <w:t>начення нормативу становить 51,4</w:t>
            </w:r>
            <w:r>
              <w:rPr>
                <w:sz w:val="20"/>
                <w:szCs w:val="20"/>
                <w:lang w:eastAsia="uk-UA"/>
              </w:rPr>
              <w:t>%</w:t>
            </w:r>
          </w:p>
        </w:tc>
      </w:tr>
      <w:tr w:rsidR="00D120E6" w:rsidRPr="00D120E6" w:rsidTr="00D120E6">
        <w:trPr>
          <w:trHeight w:val="1035"/>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b/>
                <w:bCs/>
                <w:sz w:val="20"/>
                <w:szCs w:val="20"/>
                <w:lang w:eastAsia="uk-UA"/>
              </w:rPr>
            </w:pPr>
            <w:r>
              <w:rPr>
                <w:b/>
                <w:bCs/>
                <w:sz w:val="20"/>
                <w:szCs w:val="20"/>
                <w:lang w:eastAsia="uk-UA"/>
              </w:rPr>
              <w:t>2.2.4. Мінімальний розмір резервного капіталу</w:t>
            </w:r>
          </w:p>
        </w:tc>
        <w:tc>
          <w:tcPr>
            <w:tcW w:w="5920"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rPr>
                <w:sz w:val="20"/>
                <w:szCs w:val="20"/>
                <w:lang w:eastAsia="uk-UA"/>
              </w:rPr>
            </w:pPr>
            <w:r>
              <w:rPr>
                <w:sz w:val="20"/>
                <w:szCs w:val="20"/>
                <w:lang w:eastAsia="uk-UA"/>
              </w:rPr>
              <w:t>Змінами до Розпорядження №7 від 31.12.2015, встановлена вимога щодо мінімального розміру резервного капіталу в розмірі 3% від зобов'язань кредитної спілки, норматив треба досягти до 31.03.2016р. На дату звітності фактичне значення нормативу</w:t>
            </w:r>
            <w:r w:rsidR="00EF4D7F">
              <w:rPr>
                <w:sz w:val="20"/>
                <w:szCs w:val="20"/>
                <w:lang w:eastAsia="uk-UA"/>
              </w:rPr>
              <w:t xml:space="preserve"> складає 86,7</w:t>
            </w:r>
            <w:r w:rsidR="00A84C4B">
              <w:rPr>
                <w:sz w:val="20"/>
                <w:szCs w:val="20"/>
                <w:lang w:eastAsia="uk-UA"/>
              </w:rPr>
              <w:t xml:space="preserve"> </w:t>
            </w:r>
            <w:r>
              <w:rPr>
                <w:sz w:val="20"/>
                <w:szCs w:val="20"/>
                <w:lang w:eastAsia="uk-UA"/>
              </w:rPr>
              <w:t>%</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Pr="006137EB" w:rsidRDefault="00D120E6" w:rsidP="00D120E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137EB">
        <w:t>Пов’язані особи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Відповідно до МСБО 24, кредитна спілка розкриває інформацію щодо пов’язаних осіб (сторін). Коло пов’язаних осіб кредитна спілка визначає у відповідності до ЗУ «Про фінансові послуги та державне регулювання ринків фінансових послуг». Таким чином, до пов’язаних осіб кредитна спілка відносить:</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членів правління та членів спостережної ради як провідний управлінський персонал у розумінні МСБО 24; в</w:t>
      </w:r>
      <w:r>
        <w:rPr>
          <w:color w:val="000000"/>
        </w:rPr>
        <w:t xml:space="preserve">нутрішнього аудитора (аудиторів) та членів сімей членів правління, спостережної ради та внутрішнього аудитора (аудиторів) як групу інших пов’язаних сторін.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Розкриття інформації щодо операцій із пов’язаними особами, відповідно до МСБО 24, наведено в таблиці нижче: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7"/>
        <w:gridCol w:w="2726"/>
        <w:gridCol w:w="2518"/>
      </w:tblGrid>
      <w:tr w:rsidR="00D120E6" w:rsidTr="00D120E6">
        <w:trPr>
          <w:trHeight w:val="525"/>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center"/>
              <w:rPr>
                <w:b/>
                <w:bCs/>
                <w:sz w:val="20"/>
                <w:szCs w:val="20"/>
                <w:lang w:eastAsia="uk-UA"/>
              </w:rPr>
            </w:pPr>
            <w:r>
              <w:rPr>
                <w:b/>
                <w:bCs/>
                <w:sz w:val="20"/>
                <w:szCs w:val="20"/>
                <w:lang w:eastAsia="uk-UA"/>
              </w:rPr>
              <w:t>Інформація, що розкривається у відповідності до МСБО 24</w:t>
            </w:r>
          </w:p>
        </w:tc>
        <w:tc>
          <w:tcPr>
            <w:tcW w:w="2620" w:type="dxa"/>
            <w:tcBorders>
              <w:top w:val="single" w:sz="4" w:space="0" w:color="auto"/>
              <w:left w:val="single" w:sz="4" w:space="0" w:color="auto"/>
              <w:bottom w:val="single" w:sz="4" w:space="0" w:color="auto"/>
              <w:right w:val="single" w:sz="4" w:space="0" w:color="auto"/>
            </w:tcBorders>
            <w:hideMark/>
          </w:tcPr>
          <w:p w:rsidR="00D120E6" w:rsidRDefault="00D120E6">
            <w:pPr>
              <w:jc w:val="center"/>
              <w:rPr>
                <w:b/>
                <w:bCs/>
                <w:sz w:val="20"/>
                <w:szCs w:val="20"/>
                <w:lang w:eastAsia="uk-UA"/>
              </w:rPr>
            </w:pPr>
            <w:r>
              <w:rPr>
                <w:b/>
                <w:bCs/>
                <w:sz w:val="20"/>
                <w:szCs w:val="20"/>
                <w:lang w:eastAsia="uk-UA"/>
              </w:rPr>
              <w:t>Провідний управлінський персонал</w:t>
            </w:r>
          </w:p>
        </w:tc>
        <w:tc>
          <w:tcPr>
            <w:tcW w:w="2420" w:type="dxa"/>
            <w:tcBorders>
              <w:top w:val="single" w:sz="4" w:space="0" w:color="auto"/>
              <w:left w:val="single" w:sz="4" w:space="0" w:color="auto"/>
              <w:bottom w:val="single" w:sz="4" w:space="0" w:color="auto"/>
              <w:right w:val="single" w:sz="4" w:space="0" w:color="auto"/>
            </w:tcBorders>
            <w:hideMark/>
          </w:tcPr>
          <w:p w:rsidR="00D120E6" w:rsidRDefault="00D120E6">
            <w:pPr>
              <w:jc w:val="center"/>
              <w:rPr>
                <w:b/>
                <w:bCs/>
                <w:sz w:val="20"/>
                <w:szCs w:val="20"/>
                <w:lang w:eastAsia="uk-UA"/>
              </w:rPr>
            </w:pPr>
            <w:r>
              <w:rPr>
                <w:b/>
                <w:bCs/>
                <w:sz w:val="20"/>
                <w:szCs w:val="20"/>
                <w:lang w:eastAsia="uk-UA"/>
              </w:rPr>
              <w:t>Група інших пов'язаних сторін</w:t>
            </w:r>
          </w:p>
        </w:tc>
      </w:tr>
      <w:tr w:rsidR="00D120E6" w:rsidTr="00D120E6">
        <w:trPr>
          <w:trHeight w:val="285"/>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Виплати працівникам</w:t>
            </w:r>
          </w:p>
        </w:tc>
        <w:tc>
          <w:tcPr>
            <w:tcW w:w="2620" w:type="dxa"/>
            <w:tcBorders>
              <w:top w:val="single" w:sz="4" w:space="0" w:color="auto"/>
              <w:left w:val="single" w:sz="4" w:space="0" w:color="auto"/>
              <w:bottom w:val="single" w:sz="4" w:space="0" w:color="auto"/>
              <w:right w:val="single" w:sz="4" w:space="0" w:color="auto"/>
            </w:tcBorders>
          </w:tcPr>
          <w:p w:rsidR="00D120E6" w:rsidRDefault="00EF4D7F">
            <w:pPr>
              <w:jc w:val="center"/>
              <w:rPr>
                <w:sz w:val="20"/>
                <w:szCs w:val="20"/>
                <w:lang w:eastAsia="uk-UA"/>
              </w:rPr>
            </w:pPr>
            <w:r>
              <w:rPr>
                <w:sz w:val="20"/>
                <w:szCs w:val="20"/>
                <w:lang w:eastAsia="uk-UA"/>
              </w:rPr>
              <w:t>164</w:t>
            </w:r>
          </w:p>
        </w:tc>
        <w:tc>
          <w:tcPr>
            <w:tcW w:w="2420" w:type="dxa"/>
            <w:tcBorders>
              <w:top w:val="single" w:sz="4" w:space="0" w:color="auto"/>
              <w:left w:val="single" w:sz="4" w:space="0" w:color="auto"/>
              <w:bottom w:val="single" w:sz="4" w:space="0" w:color="auto"/>
              <w:right w:val="single" w:sz="4" w:space="0" w:color="auto"/>
            </w:tcBorders>
          </w:tcPr>
          <w:p w:rsidR="00D120E6" w:rsidRDefault="00EF4D7F">
            <w:pPr>
              <w:jc w:val="center"/>
              <w:rPr>
                <w:sz w:val="20"/>
                <w:szCs w:val="20"/>
                <w:lang w:eastAsia="uk-UA"/>
              </w:rPr>
            </w:pPr>
            <w:r>
              <w:rPr>
                <w:sz w:val="20"/>
                <w:szCs w:val="20"/>
                <w:lang w:eastAsia="uk-UA"/>
              </w:rPr>
              <w:t>66</w:t>
            </w:r>
          </w:p>
        </w:tc>
      </w:tr>
      <w:tr w:rsidR="00D120E6" w:rsidTr="00D120E6">
        <w:trPr>
          <w:trHeight w:val="840"/>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Довгострокова дебіторська заборгованість (з рядка 1040 Балансу (Звіт про фінансовий стан)) на кінець періоду</w:t>
            </w:r>
          </w:p>
        </w:tc>
        <w:tc>
          <w:tcPr>
            <w:tcW w:w="2620" w:type="dxa"/>
            <w:tcBorders>
              <w:top w:val="single" w:sz="4" w:space="0" w:color="auto"/>
              <w:left w:val="single" w:sz="4" w:space="0" w:color="auto"/>
              <w:bottom w:val="single" w:sz="4" w:space="0" w:color="auto"/>
              <w:right w:val="single" w:sz="4" w:space="0" w:color="auto"/>
            </w:tcBorders>
          </w:tcPr>
          <w:p w:rsidR="00D120E6" w:rsidRPr="00954381" w:rsidRDefault="00D120E6">
            <w:pPr>
              <w:jc w:val="center"/>
              <w:rPr>
                <w:sz w:val="20"/>
                <w:szCs w:val="20"/>
                <w:lang w:val="ru-RU" w:eastAsia="uk-UA"/>
              </w:rPr>
            </w:pPr>
          </w:p>
        </w:tc>
        <w:tc>
          <w:tcPr>
            <w:tcW w:w="2420" w:type="dxa"/>
            <w:tcBorders>
              <w:top w:val="single" w:sz="4" w:space="0" w:color="auto"/>
              <w:left w:val="single" w:sz="4" w:space="0" w:color="auto"/>
              <w:bottom w:val="single" w:sz="4" w:space="0" w:color="auto"/>
              <w:right w:val="single" w:sz="4" w:space="0" w:color="auto"/>
            </w:tcBorders>
          </w:tcPr>
          <w:p w:rsidR="00D120E6" w:rsidRPr="00C96DEE" w:rsidRDefault="00D120E6">
            <w:pPr>
              <w:jc w:val="center"/>
              <w:rPr>
                <w:sz w:val="20"/>
                <w:szCs w:val="20"/>
                <w:lang w:val="ru-RU" w:eastAsia="uk-UA"/>
              </w:rPr>
            </w:pPr>
          </w:p>
        </w:tc>
      </w:tr>
      <w:tr w:rsidR="00D120E6" w:rsidTr="00D120E6">
        <w:trPr>
          <w:trHeight w:val="1020"/>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Поточна дебіторська заборгованість за амортизованою вартістю (з рядка 1155 Балансу (Звіт про фінансовий стан)) на кінець періоду</w:t>
            </w:r>
          </w:p>
        </w:tc>
        <w:tc>
          <w:tcPr>
            <w:tcW w:w="2620" w:type="dxa"/>
            <w:tcBorders>
              <w:top w:val="single" w:sz="4" w:space="0" w:color="auto"/>
              <w:left w:val="single" w:sz="4" w:space="0" w:color="auto"/>
              <w:bottom w:val="single" w:sz="4" w:space="0" w:color="auto"/>
              <w:right w:val="single" w:sz="4" w:space="0" w:color="auto"/>
            </w:tcBorders>
          </w:tcPr>
          <w:p w:rsidR="00D120E6" w:rsidRPr="00EF4D7F" w:rsidRDefault="00EF4D7F">
            <w:pPr>
              <w:jc w:val="center"/>
              <w:rPr>
                <w:sz w:val="20"/>
                <w:szCs w:val="20"/>
                <w:lang w:eastAsia="uk-UA"/>
              </w:rPr>
            </w:pPr>
            <w:r w:rsidRPr="00887724">
              <w:rPr>
                <w:sz w:val="20"/>
                <w:szCs w:val="20"/>
                <w:lang w:eastAsia="uk-UA"/>
              </w:rPr>
              <w:t>160</w:t>
            </w:r>
          </w:p>
        </w:tc>
        <w:tc>
          <w:tcPr>
            <w:tcW w:w="2420" w:type="dxa"/>
            <w:tcBorders>
              <w:top w:val="single" w:sz="4" w:space="0" w:color="auto"/>
              <w:left w:val="single" w:sz="4" w:space="0" w:color="auto"/>
              <w:bottom w:val="single" w:sz="4" w:space="0" w:color="auto"/>
              <w:right w:val="single" w:sz="4" w:space="0" w:color="auto"/>
            </w:tcBorders>
          </w:tcPr>
          <w:p w:rsidR="00D120E6" w:rsidRPr="00EF4D7F" w:rsidRDefault="00EF4D7F">
            <w:pPr>
              <w:jc w:val="center"/>
              <w:rPr>
                <w:sz w:val="20"/>
                <w:szCs w:val="20"/>
                <w:lang w:eastAsia="uk-UA"/>
              </w:rPr>
            </w:pPr>
            <w:r w:rsidRPr="00887724">
              <w:rPr>
                <w:sz w:val="20"/>
                <w:szCs w:val="20"/>
                <w:lang w:eastAsia="uk-UA"/>
              </w:rPr>
              <w:t>228</w:t>
            </w:r>
          </w:p>
        </w:tc>
      </w:tr>
      <w:tr w:rsidR="00D120E6" w:rsidTr="00D120E6">
        <w:trPr>
          <w:trHeight w:val="750"/>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Довгострокові фінансові зобов'язання (з рядка 1515 Балансу (Звіт про фінансовий стан)) на кінець періоду</w:t>
            </w:r>
          </w:p>
        </w:tc>
        <w:tc>
          <w:tcPr>
            <w:tcW w:w="26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c>
          <w:tcPr>
            <w:tcW w:w="24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r>
      <w:tr w:rsidR="00D120E6" w:rsidTr="00D120E6">
        <w:trPr>
          <w:trHeight w:val="1140"/>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Поточна заборгованість за довгостроковими фінансовими зобов'язаннями за амортизованою вартістю (з рядка 1610 Балансу (Звіт про фінансовий стан)) на кінець періоду</w:t>
            </w:r>
          </w:p>
        </w:tc>
        <w:tc>
          <w:tcPr>
            <w:tcW w:w="2620" w:type="dxa"/>
            <w:tcBorders>
              <w:top w:val="single" w:sz="4" w:space="0" w:color="auto"/>
              <w:left w:val="single" w:sz="4" w:space="0" w:color="auto"/>
              <w:bottom w:val="single" w:sz="4" w:space="0" w:color="auto"/>
              <w:right w:val="single" w:sz="4" w:space="0" w:color="auto"/>
            </w:tcBorders>
          </w:tcPr>
          <w:p w:rsidR="00D120E6" w:rsidRPr="00EF4D7F" w:rsidRDefault="00EF4D7F">
            <w:pPr>
              <w:jc w:val="center"/>
              <w:rPr>
                <w:sz w:val="20"/>
                <w:szCs w:val="20"/>
                <w:lang w:eastAsia="uk-UA"/>
              </w:rPr>
            </w:pPr>
            <w:r>
              <w:rPr>
                <w:sz w:val="20"/>
                <w:szCs w:val="20"/>
                <w:lang w:val="en-US" w:eastAsia="uk-UA"/>
              </w:rPr>
              <w:t>59</w:t>
            </w:r>
          </w:p>
        </w:tc>
        <w:tc>
          <w:tcPr>
            <w:tcW w:w="2420" w:type="dxa"/>
            <w:tcBorders>
              <w:top w:val="single" w:sz="4" w:space="0" w:color="auto"/>
              <w:left w:val="single" w:sz="4" w:space="0" w:color="auto"/>
              <w:bottom w:val="single" w:sz="4" w:space="0" w:color="auto"/>
              <w:right w:val="single" w:sz="4" w:space="0" w:color="auto"/>
            </w:tcBorders>
          </w:tcPr>
          <w:p w:rsidR="00D120E6" w:rsidRPr="00EF4D7F" w:rsidRDefault="00EF4D7F">
            <w:pPr>
              <w:jc w:val="center"/>
              <w:rPr>
                <w:sz w:val="20"/>
                <w:szCs w:val="20"/>
                <w:lang w:eastAsia="uk-UA"/>
              </w:rPr>
            </w:pPr>
            <w:r>
              <w:rPr>
                <w:sz w:val="20"/>
                <w:szCs w:val="20"/>
                <w:lang w:eastAsia="uk-UA"/>
              </w:rPr>
              <w:t>85</w:t>
            </w:r>
          </w:p>
        </w:tc>
      </w:tr>
      <w:tr w:rsidR="00D120E6" w:rsidTr="00D120E6">
        <w:trPr>
          <w:trHeight w:val="701"/>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Поточні фінансові зобов'язання за амортизованою вартістю (з рядка 1690 Балансу (Звіт про фінансовий стан)) на кінець періоду</w:t>
            </w:r>
          </w:p>
        </w:tc>
        <w:tc>
          <w:tcPr>
            <w:tcW w:w="2620" w:type="dxa"/>
            <w:tcBorders>
              <w:top w:val="single" w:sz="4" w:space="0" w:color="auto"/>
              <w:left w:val="single" w:sz="4" w:space="0" w:color="auto"/>
              <w:bottom w:val="single" w:sz="4" w:space="0" w:color="auto"/>
              <w:right w:val="single" w:sz="4" w:space="0" w:color="auto"/>
            </w:tcBorders>
          </w:tcPr>
          <w:p w:rsidR="00D120E6" w:rsidRPr="00EF4D7F" w:rsidRDefault="00EF4D7F">
            <w:pPr>
              <w:jc w:val="center"/>
              <w:rPr>
                <w:sz w:val="20"/>
                <w:szCs w:val="20"/>
                <w:lang w:eastAsia="uk-UA"/>
              </w:rPr>
            </w:pPr>
            <w:r>
              <w:rPr>
                <w:sz w:val="20"/>
                <w:szCs w:val="20"/>
                <w:lang w:eastAsia="uk-UA"/>
              </w:rPr>
              <w:t>8</w:t>
            </w:r>
          </w:p>
        </w:tc>
        <w:tc>
          <w:tcPr>
            <w:tcW w:w="2420" w:type="dxa"/>
            <w:tcBorders>
              <w:top w:val="single" w:sz="4" w:space="0" w:color="auto"/>
              <w:left w:val="single" w:sz="4" w:space="0" w:color="auto"/>
              <w:bottom w:val="single" w:sz="4" w:space="0" w:color="auto"/>
              <w:right w:val="single" w:sz="4" w:space="0" w:color="auto"/>
            </w:tcBorders>
          </w:tcPr>
          <w:p w:rsidR="00D120E6" w:rsidRPr="00EF4D7F" w:rsidRDefault="00EF4D7F">
            <w:pPr>
              <w:jc w:val="center"/>
              <w:rPr>
                <w:sz w:val="20"/>
                <w:szCs w:val="20"/>
                <w:lang w:eastAsia="uk-UA"/>
              </w:rPr>
            </w:pPr>
            <w:r>
              <w:rPr>
                <w:sz w:val="20"/>
                <w:szCs w:val="20"/>
                <w:lang w:eastAsia="uk-UA"/>
              </w:rPr>
              <w:t>6</w:t>
            </w:r>
          </w:p>
        </w:tc>
      </w:tr>
      <w:tr w:rsidR="00D120E6" w:rsidTr="00D120E6">
        <w:trPr>
          <w:trHeight w:val="487"/>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в тому числі внески вклади "До запитання" на кінець періоду</w:t>
            </w:r>
          </w:p>
        </w:tc>
        <w:tc>
          <w:tcPr>
            <w:tcW w:w="26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c>
          <w:tcPr>
            <w:tcW w:w="24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r>
      <w:tr w:rsidR="00D120E6" w:rsidTr="00D120E6">
        <w:trPr>
          <w:trHeight w:val="555"/>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Придбання або продаж нерухомості та інших активів</w:t>
            </w:r>
          </w:p>
        </w:tc>
        <w:tc>
          <w:tcPr>
            <w:tcW w:w="26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c>
          <w:tcPr>
            <w:tcW w:w="24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r>
      <w:tr w:rsidR="00D120E6" w:rsidTr="00D120E6">
        <w:trPr>
          <w:trHeight w:val="285"/>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Отримання послуг</w:t>
            </w:r>
          </w:p>
        </w:tc>
        <w:tc>
          <w:tcPr>
            <w:tcW w:w="26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c>
          <w:tcPr>
            <w:tcW w:w="24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r>
      <w:tr w:rsidR="00D120E6" w:rsidTr="00D120E6">
        <w:trPr>
          <w:trHeight w:val="285"/>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Оренда</w:t>
            </w:r>
          </w:p>
        </w:tc>
        <w:tc>
          <w:tcPr>
            <w:tcW w:w="2620" w:type="dxa"/>
            <w:tcBorders>
              <w:top w:val="single" w:sz="4" w:space="0" w:color="auto"/>
              <w:left w:val="single" w:sz="4" w:space="0" w:color="auto"/>
              <w:bottom w:val="single" w:sz="4" w:space="0" w:color="auto"/>
              <w:right w:val="single" w:sz="4" w:space="0" w:color="auto"/>
            </w:tcBorders>
          </w:tcPr>
          <w:p w:rsidR="00D120E6" w:rsidRPr="00EF4D7F" w:rsidRDefault="00EF4D7F">
            <w:pPr>
              <w:jc w:val="center"/>
              <w:rPr>
                <w:sz w:val="20"/>
                <w:szCs w:val="20"/>
                <w:lang w:eastAsia="uk-UA"/>
              </w:rPr>
            </w:pPr>
            <w:r>
              <w:rPr>
                <w:sz w:val="20"/>
                <w:szCs w:val="20"/>
                <w:lang w:eastAsia="uk-UA"/>
              </w:rPr>
              <w:t>200</w:t>
            </w:r>
          </w:p>
        </w:tc>
        <w:tc>
          <w:tcPr>
            <w:tcW w:w="24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r>
      <w:tr w:rsidR="00D120E6" w:rsidTr="00D120E6">
        <w:trPr>
          <w:trHeight w:val="285"/>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 xml:space="preserve">Надання </w:t>
            </w:r>
            <w:proofErr w:type="spellStart"/>
            <w:r>
              <w:rPr>
                <w:sz w:val="20"/>
                <w:szCs w:val="20"/>
                <w:lang w:eastAsia="uk-UA"/>
              </w:rPr>
              <w:t>поручительств</w:t>
            </w:r>
            <w:proofErr w:type="spellEnd"/>
            <w:r>
              <w:rPr>
                <w:sz w:val="20"/>
                <w:szCs w:val="20"/>
                <w:lang w:eastAsia="uk-UA"/>
              </w:rPr>
              <w:t xml:space="preserve"> перед третіми особами</w:t>
            </w:r>
          </w:p>
        </w:tc>
        <w:tc>
          <w:tcPr>
            <w:tcW w:w="26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c>
          <w:tcPr>
            <w:tcW w:w="24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r>
    </w:tbl>
    <w:p w:rsidR="00D120E6" w:rsidRDefault="00D120E6" w:rsidP="00D120E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Управління ризиками</w:t>
      </w:r>
    </w:p>
    <w:tbl>
      <w:tblPr>
        <w:tblW w:w="9510" w:type="dxa"/>
        <w:tblInd w:w="103" w:type="dxa"/>
        <w:tblLayout w:type="fixed"/>
        <w:tblLook w:val="04A0" w:firstRow="1" w:lastRow="0" w:firstColumn="1" w:lastColumn="0" w:noHBand="0" w:noVBand="1"/>
      </w:tblPr>
      <w:tblGrid>
        <w:gridCol w:w="2768"/>
        <w:gridCol w:w="74"/>
        <w:gridCol w:w="941"/>
        <w:gridCol w:w="1276"/>
        <w:gridCol w:w="1441"/>
        <w:gridCol w:w="1606"/>
        <w:gridCol w:w="1404"/>
      </w:tblGrid>
      <w:tr w:rsidR="00D120E6" w:rsidTr="00D120E6">
        <w:trPr>
          <w:trHeight w:val="285"/>
        </w:trPr>
        <w:tc>
          <w:tcPr>
            <w:tcW w:w="9503" w:type="dxa"/>
            <w:gridSpan w:val="7"/>
            <w:hideMark/>
          </w:tcPr>
          <w:p w:rsidR="00D120E6" w:rsidRPr="00A84C4B" w:rsidRDefault="00D120E6">
            <w:r w:rsidRPr="00A84C4B">
              <w:t>Таблиця 1. Аналіз фінансових активів та фінансових зобов'язань за строками погашення</w:t>
            </w: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center"/>
              <w:rPr>
                <w:b/>
                <w:bCs/>
              </w:rPr>
            </w:pPr>
            <w:r>
              <w:rPr>
                <w:b/>
                <w:bCs/>
              </w:rPr>
              <w:t>Вид фінансового активу</w:t>
            </w:r>
          </w:p>
        </w:tc>
        <w:tc>
          <w:tcPr>
            <w:tcW w:w="1275"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rPr>
                <w:b/>
                <w:bCs/>
              </w:rPr>
            </w:pPr>
            <w:r>
              <w:rPr>
                <w:b/>
                <w:bCs/>
              </w:rPr>
              <w:t xml:space="preserve">до 1 міс. </w:t>
            </w:r>
          </w:p>
        </w:tc>
        <w:tc>
          <w:tcPr>
            <w:tcW w:w="1440"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rPr>
                <w:b/>
                <w:bCs/>
              </w:rPr>
            </w:pPr>
            <w:r>
              <w:rPr>
                <w:b/>
                <w:bCs/>
              </w:rPr>
              <w:t>1-3 місяців</w:t>
            </w:r>
          </w:p>
        </w:tc>
        <w:tc>
          <w:tcPr>
            <w:tcW w:w="1605"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rPr>
                <w:b/>
                <w:bCs/>
              </w:rPr>
            </w:pPr>
            <w:r>
              <w:rPr>
                <w:b/>
                <w:bCs/>
              </w:rPr>
              <w:t>3-12 місяців</w:t>
            </w:r>
          </w:p>
        </w:tc>
        <w:tc>
          <w:tcPr>
            <w:tcW w:w="1403" w:type="dxa"/>
            <w:tcBorders>
              <w:top w:val="single" w:sz="4" w:space="0" w:color="auto"/>
              <w:left w:val="nil"/>
              <w:bottom w:val="single" w:sz="4" w:space="0" w:color="auto"/>
              <w:right w:val="single" w:sz="4" w:space="0" w:color="auto"/>
            </w:tcBorders>
            <w:shd w:val="clear" w:color="auto" w:fill="FFFFFF"/>
            <w:noWrap/>
            <w:vAlign w:val="center"/>
            <w:hideMark/>
          </w:tcPr>
          <w:p w:rsidR="00D120E6" w:rsidRDefault="00D120E6">
            <w:pPr>
              <w:jc w:val="left"/>
              <w:rPr>
                <w:rFonts w:ascii="Arial CYR" w:hAnsi="Arial CYR"/>
              </w:rPr>
            </w:pPr>
            <w:r>
              <w:rPr>
                <w:b/>
                <w:bCs/>
              </w:rPr>
              <w:t xml:space="preserve">&gt;12 </w:t>
            </w:r>
            <w:r>
              <w:rPr>
                <w:b/>
                <w:bCs/>
              </w:rPr>
              <w:lastRenderedPageBreak/>
              <w:t>місяців</w:t>
            </w: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pPr>
            <w:r>
              <w:lastRenderedPageBreak/>
              <w:t>Грошові кошти та їх еквіваленти</w:t>
            </w:r>
          </w:p>
        </w:tc>
        <w:tc>
          <w:tcPr>
            <w:tcW w:w="1275" w:type="dxa"/>
            <w:tcBorders>
              <w:top w:val="single" w:sz="4" w:space="0" w:color="auto"/>
              <w:left w:val="nil"/>
              <w:bottom w:val="single" w:sz="4" w:space="0" w:color="auto"/>
              <w:right w:val="single" w:sz="4" w:space="0" w:color="000000"/>
            </w:tcBorders>
            <w:shd w:val="clear" w:color="auto" w:fill="FFFFFF"/>
            <w:noWrap/>
            <w:vAlign w:val="center"/>
          </w:tcPr>
          <w:p w:rsidR="00D120E6" w:rsidRPr="00A84C4B" w:rsidRDefault="00EF4D7F">
            <w:pPr>
              <w:jc w:val="center"/>
            </w:pPr>
            <w:r>
              <w:t>688</w:t>
            </w:r>
          </w:p>
        </w:tc>
        <w:tc>
          <w:tcPr>
            <w:tcW w:w="1440"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pPr>
            <w:r>
              <w:t> </w:t>
            </w:r>
          </w:p>
        </w:tc>
        <w:tc>
          <w:tcPr>
            <w:tcW w:w="1605"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EF4D7F">
            <w:pPr>
              <w:jc w:val="center"/>
            </w:pPr>
            <w:r>
              <w:t>100</w:t>
            </w:r>
            <w:r w:rsidR="00D120E6">
              <w:t> </w:t>
            </w:r>
          </w:p>
        </w:tc>
        <w:tc>
          <w:tcPr>
            <w:tcW w:w="1403" w:type="dxa"/>
            <w:tcBorders>
              <w:top w:val="single" w:sz="4" w:space="0" w:color="auto"/>
              <w:left w:val="nil"/>
              <w:bottom w:val="single" w:sz="4" w:space="0" w:color="auto"/>
              <w:right w:val="single" w:sz="4" w:space="0" w:color="auto"/>
            </w:tcBorders>
            <w:shd w:val="clear" w:color="auto" w:fill="FFFFFF"/>
            <w:noWrap/>
            <w:vAlign w:val="center"/>
            <w:hideMark/>
          </w:tcPr>
          <w:p w:rsidR="00D120E6" w:rsidRDefault="00D120E6">
            <w:pPr>
              <w:jc w:val="left"/>
              <w:rPr>
                <w:rFonts w:ascii="Arial CYR" w:hAnsi="Arial CYR"/>
              </w:rPr>
            </w:pPr>
            <w:r>
              <w:t> </w:t>
            </w: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pPr>
            <w:r>
              <w:t xml:space="preserve">Фінансові інвестиції </w:t>
            </w:r>
          </w:p>
        </w:tc>
        <w:tc>
          <w:tcPr>
            <w:tcW w:w="1275"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pPr>
            <w:r>
              <w:t> </w:t>
            </w:r>
          </w:p>
        </w:tc>
        <w:tc>
          <w:tcPr>
            <w:tcW w:w="1440"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pPr>
            <w:r>
              <w:t> </w:t>
            </w:r>
          </w:p>
        </w:tc>
        <w:tc>
          <w:tcPr>
            <w:tcW w:w="1605"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pPr>
            <w:r>
              <w:t> </w:t>
            </w:r>
          </w:p>
        </w:tc>
        <w:tc>
          <w:tcPr>
            <w:tcW w:w="1403" w:type="dxa"/>
            <w:tcBorders>
              <w:top w:val="single" w:sz="4" w:space="0" w:color="auto"/>
              <w:left w:val="nil"/>
              <w:bottom w:val="single" w:sz="4" w:space="0" w:color="auto"/>
              <w:right w:val="single" w:sz="4" w:space="0" w:color="auto"/>
            </w:tcBorders>
            <w:shd w:val="clear" w:color="auto" w:fill="FFFFFF"/>
            <w:noWrap/>
            <w:vAlign w:val="center"/>
          </w:tcPr>
          <w:p w:rsidR="00D120E6" w:rsidRDefault="00D120E6">
            <w:pPr>
              <w:jc w:val="left"/>
              <w:rPr>
                <w:rFonts w:ascii="Arial CYR" w:hAnsi="Arial CYR"/>
              </w:rPr>
            </w:pP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pPr>
            <w:r>
              <w:t>Кредити, надані членам кредитної спілки</w:t>
            </w:r>
          </w:p>
        </w:tc>
        <w:tc>
          <w:tcPr>
            <w:tcW w:w="1275" w:type="dxa"/>
            <w:tcBorders>
              <w:top w:val="single" w:sz="4" w:space="0" w:color="auto"/>
              <w:left w:val="nil"/>
              <w:bottom w:val="single" w:sz="4" w:space="0" w:color="auto"/>
              <w:right w:val="single" w:sz="4" w:space="0" w:color="000000"/>
            </w:tcBorders>
            <w:shd w:val="clear" w:color="auto" w:fill="FFFFFF"/>
            <w:noWrap/>
            <w:vAlign w:val="center"/>
          </w:tcPr>
          <w:p w:rsidR="00D120E6" w:rsidRDefault="00D120E6">
            <w:pPr>
              <w:jc w:val="center"/>
            </w:pPr>
          </w:p>
        </w:tc>
        <w:tc>
          <w:tcPr>
            <w:tcW w:w="1440" w:type="dxa"/>
            <w:tcBorders>
              <w:top w:val="single" w:sz="4" w:space="0" w:color="auto"/>
              <w:left w:val="nil"/>
              <w:bottom w:val="single" w:sz="4" w:space="0" w:color="auto"/>
              <w:right w:val="single" w:sz="4" w:space="0" w:color="000000"/>
            </w:tcBorders>
            <w:shd w:val="clear" w:color="auto" w:fill="FFFFFF"/>
            <w:noWrap/>
            <w:vAlign w:val="center"/>
          </w:tcPr>
          <w:p w:rsidR="00D120E6" w:rsidRDefault="00EF4D7F">
            <w:pPr>
              <w:jc w:val="center"/>
            </w:pPr>
            <w:r>
              <w:t>5</w:t>
            </w:r>
          </w:p>
        </w:tc>
        <w:tc>
          <w:tcPr>
            <w:tcW w:w="1605" w:type="dxa"/>
            <w:tcBorders>
              <w:top w:val="single" w:sz="4" w:space="0" w:color="auto"/>
              <w:left w:val="nil"/>
              <w:bottom w:val="single" w:sz="4" w:space="0" w:color="auto"/>
              <w:right w:val="single" w:sz="4" w:space="0" w:color="000000"/>
            </w:tcBorders>
            <w:shd w:val="clear" w:color="auto" w:fill="FFFFFF"/>
            <w:noWrap/>
            <w:vAlign w:val="center"/>
          </w:tcPr>
          <w:p w:rsidR="00D120E6" w:rsidRDefault="00EF4D7F">
            <w:pPr>
              <w:jc w:val="center"/>
            </w:pPr>
            <w:r>
              <w:t>1191</w:t>
            </w:r>
          </w:p>
        </w:tc>
        <w:tc>
          <w:tcPr>
            <w:tcW w:w="1403" w:type="dxa"/>
            <w:tcBorders>
              <w:top w:val="single" w:sz="4" w:space="0" w:color="auto"/>
              <w:left w:val="nil"/>
              <w:bottom w:val="single" w:sz="4" w:space="0" w:color="auto"/>
              <w:right w:val="single" w:sz="4" w:space="0" w:color="auto"/>
            </w:tcBorders>
            <w:shd w:val="clear" w:color="auto" w:fill="FFFFFF"/>
            <w:noWrap/>
            <w:vAlign w:val="center"/>
          </w:tcPr>
          <w:p w:rsidR="00D120E6" w:rsidRDefault="00EF4D7F">
            <w:pPr>
              <w:jc w:val="left"/>
              <w:rPr>
                <w:rFonts w:ascii="Arial CYR" w:hAnsi="Arial CYR"/>
              </w:rPr>
            </w:pPr>
            <w:r>
              <w:rPr>
                <w:rFonts w:ascii="Arial CYR" w:hAnsi="Arial CYR"/>
              </w:rPr>
              <w:t>1706</w:t>
            </w: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pPr>
            <w:r>
              <w:t>Проценти по кредитах</w:t>
            </w:r>
          </w:p>
        </w:tc>
        <w:tc>
          <w:tcPr>
            <w:tcW w:w="1275" w:type="dxa"/>
            <w:tcBorders>
              <w:top w:val="single" w:sz="4" w:space="0" w:color="auto"/>
              <w:left w:val="nil"/>
              <w:bottom w:val="single" w:sz="4" w:space="0" w:color="auto"/>
              <w:right w:val="single" w:sz="4" w:space="0" w:color="000000"/>
            </w:tcBorders>
            <w:shd w:val="clear" w:color="auto" w:fill="FFFFFF"/>
            <w:noWrap/>
            <w:vAlign w:val="center"/>
          </w:tcPr>
          <w:p w:rsidR="00D120E6" w:rsidRDefault="00EF4D7F">
            <w:pPr>
              <w:jc w:val="center"/>
            </w:pPr>
            <w:r>
              <w:t>140</w:t>
            </w:r>
          </w:p>
        </w:tc>
        <w:tc>
          <w:tcPr>
            <w:tcW w:w="1440" w:type="dxa"/>
            <w:tcBorders>
              <w:top w:val="single" w:sz="4" w:space="0" w:color="auto"/>
              <w:left w:val="nil"/>
              <w:bottom w:val="single" w:sz="4" w:space="0" w:color="auto"/>
              <w:right w:val="single" w:sz="4" w:space="0" w:color="000000"/>
            </w:tcBorders>
            <w:shd w:val="clear" w:color="auto" w:fill="FFFFFF"/>
            <w:noWrap/>
            <w:vAlign w:val="center"/>
          </w:tcPr>
          <w:p w:rsidR="00D120E6" w:rsidRDefault="00EF4D7F">
            <w:pPr>
              <w:jc w:val="center"/>
            </w:pPr>
            <w:r>
              <w:t>422</w:t>
            </w:r>
          </w:p>
        </w:tc>
        <w:tc>
          <w:tcPr>
            <w:tcW w:w="1605" w:type="dxa"/>
            <w:tcBorders>
              <w:top w:val="single" w:sz="4" w:space="0" w:color="auto"/>
              <w:left w:val="nil"/>
              <w:bottom w:val="single" w:sz="4" w:space="0" w:color="auto"/>
              <w:right w:val="single" w:sz="4" w:space="0" w:color="000000"/>
            </w:tcBorders>
            <w:shd w:val="clear" w:color="auto" w:fill="FFFFFF"/>
            <w:noWrap/>
            <w:vAlign w:val="center"/>
          </w:tcPr>
          <w:p w:rsidR="00D120E6" w:rsidRDefault="00EF4D7F">
            <w:pPr>
              <w:jc w:val="center"/>
            </w:pPr>
            <w:r>
              <w:t>1127</w:t>
            </w:r>
          </w:p>
        </w:tc>
        <w:tc>
          <w:tcPr>
            <w:tcW w:w="1403" w:type="dxa"/>
            <w:tcBorders>
              <w:top w:val="single" w:sz="4" w:space="0" w:color="auto"/>
              <w:left w:val="nil"/>
              <w:bottom w:val="single" w:sz="4" w:space="0" w:color="auto"/>
              <w:right w:val="single" w:sz="4" w:space="0" w:color="auto"/>
            </w:tcBorders>
            <w:shd w:val="clear" w:color="auto" w:fill="FFFFFF"/>
            <w:noWrap/>
            <w:vAlign w:val="center"/>
          </w:tcPr>
          <w:p w:rsidR="00D120E6" w:rsidRDefault="00D120E6">
            <w:pPr>
              <w:jc w:val="left"/>
              <w:rPr>
                <w:rFonts w:ascii="Arial CYR" w:hAnsi="Arial CYR"/>
              </w:rPr>
            </w:pP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b/>
                <w:bCs/>
              </w:rPr>
            </w:pPr>
            <w:r>
              <w:rPr>
                <w:b/>
                <w:bCs/>
              </w:rPr>
              <w:t>Разом грошовий потік</w:t>
            </w:r>
          </w:p>
        </w:tc>
        <w:tc>
          <w:tcPr>
            <w:tcW w:w="1275" w:type="dxa"/>
            <w:tcBorders>
              <w:top w:val="single" w:sz="4" w:space="0" w:color="auto"/>
              <w:left w:val="nil"/>
              <w:bottom w:val="single" w:sz="4" w:space="0" w:color="auto"/>
              <w:right w:val="single" w:sz="4" w:space="0" w:color="000000"/>
            </w:tcBorders>
            <w:shd w:val="clear" w:color="auto" w:fill="FFFFFF"/>
            <w:noWrap/>
            <w:vAlign w:val="center"/>
          </w:tcPr>
          <w:p w:rsidR="00D120E6" w:rsidRDefault="00EF4D7F">
            <w:pPr>
              <w:jc w:val="center"/>
              <w:rPr>
                <w:b/>
                <w:bCs/>
              </w:rPr>
            </w:pPr>
            <w:r>
              <w:rPr>
                <w:b/>
                <w:bCs/>
              </w:rPr>
              <w:t>828</w:t>
            </w:r>
          </w:p>
        </w:tc>
        <w:tc>
          <w:tcPr>
            <w:tcW w:w="1440" w:type="dxa"/>
            <w:tcBorders>
              <w:top w:val="single" w:sz="4" w:space="0" w:color="auto"/>
              <w:left w:val="nil"/>
              <w:bottom w:val="single" w:sz="4" w:space="0" w:color="auto"/>
              <w:right w:val="single" w:sz="4" w:space="0" w:color="000000"/>
            </w:tcBorders>
            <w:shd w:val="clear" w:color="auto" w:fill="FFFFFF"/>
            <w:noWrap/>
            <w:vAlign w:val="center"/>
          </w:tcPr>
          <w:p w:rsidR="00D120E6" w:rsidRDefault="00EF4D7F">
            <w:pPr>
              <w:jc w:val="center"/>
              <w:rPr>
                <w:b/>
                <w:bCs/>
              </w:rPr>
            </w:pPr>
            <w:r>
              <w:rPr>
                <w:b/>
                <w:bCs/>
              </w:rPr>
              <w:t>427</w:t>
            </w:r>
          </w:p>
        </w:tc>
        <w:tc>
          <w:tcPr>
            <w:tcW w:w="1605" w:type="dxa"/>
            <w:tcBorders>
              <w:top w:val="single" w:sz="4" w:space="0" w:color="auto"/>
              <w:left w:val="nil"/>
              <w:bottom w:val="single" w:sz="4" w:space="0" w:color="auto"/>
              <w:right w:val="single" w:sz="4" w:space="0" w:color="000000"/>
            </w:tcBorders>
            <w:shd w:val="clear" w:color="auto" w:fill="FFFFFF"/>
            <w:noWrap/>
            <w:vAlign w:val="center"/>
          </w:tcPr>
          <w:p w:rsidR="00D120E6" w:rsidRDefault="00EF4D7F">
            <w:pPr>
              <w:jc w:val="center"/>
              <w:rPr>
                <w:b/>
                <w:bCs/>
              </w:rPr>
            </w:pPr>
            <w:r>
              <w:rPr>
                <w:b/>
                <w:bCs/>
              </w:rPr>
              <w:t>2418</w:t>
            </w:r>
          </w:p>
        </w:tc>
        <w:tc>
          <w:tcPr>
            <w:tcW w:w="1403" w:type="dxa"/>
            <w:tcBorders>
              <w:top w:val="single" w:sz="4" w:space="0" w:color="auto"/>
              <w:left w:val="nil"/>
              <w:bottom w:val="single" w:sz="4" w:space="0" w:color="auto"/>
              <w:right w:val="single" w:sz="4" w:space="0" w:color="000000"/>
            </w:tcBorders>
            <w:shd w:val="clear" w:color="auto" w:fill="FFFFFF"/>
            <w:noWrap/>
            <w:vAlign w:val="center"/>
          </w:tcPr>
          <w:p w:rsidR="00D120E6" w:rsidRDefault="00EF4D7F">
            <w:pPr>
              <w:jc w:val="left"/>
              <w:rPr>
                <w:rFonts w:ascii="Arial CYR" w:hAnsi="Arial CYR"/>
              </w:rPr>
            </w:pPr>
            <w:r>
              <w:rPr>
                <w:rFonts w:ascii="Arial CYR" w:hAnsi="Arial CYR"/>
              </w:rPr>
              <w:t>1706</w:t>
            </w: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b/>
                <w:bCs/>
              </w:rPr>
            </w:pPr>
            <w:r>
              <w:rPr>
                <w:b/>
                <w:bCs/>
              </w:rPr>
              <w:t>Вид фінансового зобов'язання</w:t>
            </w:r>
          </w:p>
        </w:tc>
        <w:tc>
          <w:tcPr>
            <w:tcW w:w="1275"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rPr>
                <w:b/>
                <w:bCs/>
              </w:rPr>
            </w:pPr>
            <w:r>
              <w:rPr>
                <w:b/>
                <w:bCs/>
              </w:rPr>
              <w:t xml:space="preserve">до 1 міс. </w:t>
            </w:r>
          </w:p>
        </w:tc>
        <w:tc>
          <w:tcPr>
            <w:tcW w:w="1440"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rPr>
                <w:b/>
                <w:bCs/>
              </w:rPr>
            </w:pPr>
            <w:r>
              <w:rPr>
                <w:b/>
                <w:bCs/>
              </w:rPr>
              <w:t>1-3 місяців</w:t>
            </w:r>
          </w:p>
        </w:tc>
        <w:tc>
          <w:tcPr>
            <w:tcW w:w="1605"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rPr>
                <w:b/>
                <w:bCs/>
              </w:rPr>
            </w:pPr>
            <w:r>
              <w:rPr>
                <w:b/>
                <w:bCs/>
              </w:rPr>
              <w:t>3-12 місяців</w:t>
            </w:r>
          </w:p>
        </w:tc>
        <w:tc>
          <w:tcPr>
            <w:tcW w:w="1403" w:type="dxa"/>
            <w:tcBorders>
              <w:top w:val="single" w:sz="4" w:space="0" w:color="auto"/>
              <w:left w:val="nil"/>
              <w:bottom w:val="single" w:sz="4" w:space="0" w:color="auto"/>
              <w:right w:val="single" w:sz="4" w:space="0" w:color="auto"/>
            </w:tcBorders>
            <w:shd w:val="clear" w:color="auto" w:fill="FFFFFF"/>
            <w:noWrap/>
            <w:vAlign w:val="center"/>
            <w:hideMark/>
          </w:tcPr>
          <w:p w:rsidR="00D120E6" w:rsidRDefault="00D120E6">
            <w:pPr>
              <w:jc w:val="left"/>
              <w:rPr>
                <w:rFonts w:ascii="Arial CYR" w:hAnsi="Arial CYR"/>
              </w:rPr>
            </w:pPr>
            <w:r>
              <w:rPr>
                <w:b/>
                <w:bCs/>
              </w:rPr>
              <w:t>&gt;12 місяців</w:t>
            </w: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pPr>
            <w:r>
              <w:t xml:space="preserve">Внески (вклади) на депозитні рахунки </w:t>
            </w:r>
          </w:p>
        </w:tc>
        <w:tc>
          <w:tcPr>
            <w:tcW w:w="1275" w:type="dxa"/>
            <w:tcBorders>
              <w:top w:val="single" w:sz="4" w:space="0" w:color="auto"/>
              <w:left w:val="nil"/>
              <w:bottom w:val="single" w:sz="4" w:space="0" w:color="auto"/>
              <w:right w:val="single" w:sz="4" w:space="0" w:color="000000"/>
            </w:tcBorders>
            <w:shd w:val="clear" w:color="auto" w:fill="FFFFFF"/>
            <w:noWrap/>
            <w:vAlign w:val="center"/>
          </w:tcPr>
          <w:p w:rsidR="00D120E6" w:rsidRDefault="00EF4D7F">
            <w:pPr>
              <w:jc w:val="center"/>
            </w:pPr>
            <w:r>
              <w:t>29</w:t>
            </w:r>
          </w:p>
        </w:tc>
        <w:tc>
          <w:tcPr>
            <w:tcW w:w="1440" w:type="dxa"/>
            <w:tcBorders>
              <w:top w:val="single" w:sz="4" w:space="0" w:color="auto"/>
              <w:left w:val="nil"/>
              <w:bottom w:val="single" w:sz="4" w:space="0" w:color="auto"/>
              <w:right w:val="single" w:sz="4" w:space="0" w:color="000000"/>
            </w:tcBorders>
            <w:shd w:val="clear" w:color="auto" w:fill="FFFFFF"/>
            <w:noWrap/>
            <w:vAlign w:val="center"/>
          </w:tcPr>
          <w:p w:rsidR="00D120E6" w:rsidRDefault="00EF4D7F">
            <w:pPr>
              <w:jc w:val="center"/>
            </w:pPr>
            <w:r>
              <w:t>38</w:t>
            </w:r>
          </w:p>
        </w:tc>
        <w:tc>
          <w:tcPr>
            <w:tcW w:w="1605" w:type="dxa"/>
            <w:tcBorders>
              <w:top w:val="single" w:sz="4" w:space="0" w:color="auto"/>
              <w:left w:val="nil"/>
              <w:bottom w:val="single" w:sz="4" w:space="0" w:color="auto"/>
              <w:right w:val="single" w:sz="4" w:space="0" w:color="000000"/>
            </w:tcBorders>
            <w:shd w:val="clear" w:color="auto" w:fill="FFFFFF"/>
            <w:noWrap/>
            <w:vAlign w:val="center"/>
          </w:tcPr>
          <w:p w:rsidR="00D120E6" w:rsidRDefault="00EF4D7F">
            <w:pPr>
              <w:jc w:val="center"/>
            </w:pPr>
            <w:r>
              <w:t>113</w:t>
            </w:r>
          </w:p>
        </w:tc>
        <w:tc>
          <w:tcPr>
            <w:tcW w:w="1403" w:type="dxa"/>
            <w:tcBorders>
              <w:top w:val="single" w:sz="4" w:space="0" w:color="auto"/>
              <w:left w:val="nil"/>
              <w:bottom w:val="single" w:sz="4" w:space="0" w:color="auto"/>
              <w:right w:val="single" w:sz="4" w:space="0" w:color="auto"/>
            </w:tcBorders>
            <w:shd w:val="clear" w:color="auto" w:fill="FFFFFF"/>
            <w:noWrap/>
            <w:vAlign w:val="center"/>
          </w:tcPr>
          <w:p w:rsidR="00D120E6" w:rsidRDefault="00D120E6">
            <w:pPr>
              <w:jc w:val="left"/>
              <w:rPr>
                <w:rFonts w:ascii="Arial CYR" w:hAnsi="Arial CYR"/>
              </w:rPr>
            </w:pPr>
          </w:p>
        </w:tc>
      </w:tr>
      <w:tr w:rsidR="00D120E6" w:rsidTr="00D120E6">
        <w:trPr>
          <w:trHeight w:val="600"/>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pPr>
            <w:r>
              <w:t xml:space="preserve">Проценти за внесками (вкладами) на депозитні рахунки </w:t>
            </w:r>
          </w:p>
        </w:tc>
        <w:tc>
          <w:tcPr>
            <w:tcW w:w="1275" w:type="dxa"/>
            <w:tcBorders>
              <w:top w:val="single" w:sz="4" w:space="0" w:color="auto"/>
              <w:left w:val="nil"/>
              <w:bottom w:val="single" w:sz="4" w:space="0" w:color="auto"/>
              <w:right w:val="single" w:sz="4" w:space="0" w:color="000000"/>
            </w:tcBorders>
            <w:shd w:val="clear" w:color="auto" w:fill="FFFFFF"/>
            <w:noWrap/>
            <w:vAlign w:val="center"/>
          </w:tcPr>
          <w:p w:rsidR="00D120E6" w:rsidRDefault="00EF4D7F">
            <w:pPr>
              <w:jc w:val="center"/>
            </w:pPr>
            <w:r>
              <w:t>7</w:t>
            </w:r>
            <w:r w:rsidR="008F0F00">
              <w:t>1</w:t>
            </w:r>
          </w:p>
        </w:tc>
        <w:tc>
          <w:tcPr>
            <w:tcW w:w="1440" w:type="dxa"/>
            <w:tcBorders>
              <w:top w:val="single" w:sz="4" w:space="0" w:color="auto"/>
              <w:left w:val="nil"/>
              <w:bottom w:val="single" w:sz="4" w:space="0" w:color="auto"/>
              <w:right w:val="single" w:sz="4" w:space="0" w:color="000000"/>
            </w:tcBorders>
            <w:shd w:val="clear" w:color="auto" w:fill="FFFFFF"/>
            <w:noWrap/>
            <w:vAlign w:val="center"/>
          </w:tcPr>
          <w:p w:rsidR="00D120E6" w:rsidRDefault="00EF4D7F" w:rsidP="00EF4D7F">
            <w:pPr>
              <w:jc w:val="center"/>
            </w:pPr>
            <w:r>
              <w:t>214</w:t>
            </w:r>
          </w:p>
        </w:tc>
        <w:tc>
          <w:tcPr>
            <w:tcW w:w="1605" w:type="dxa"/>
            <w:tcBorders>
              <w:top w:val="single" w:sz="4" w:space="0" w:color="auto"/>
              <w:left w:val="nil"/>
              <w:bottom w:val="single" w:sz="4" w:space="0" w:color="auto"/>
              <w:right w:val="single" w:sz="4" w:space="0" w:color="000000"/>
            </w:tcBorders>
            <w:shd w:val="clear" w:color="auto" w:fill="FFFFFF"/>
            <w:noWrap/>
            <w:vAlign w:val="center"/>
          </w:tcPr>
          <w:p w:rsidR="00D120E6" w:rsidRDefault="00EF4D7F">
            <w:pPr>
              <w:jc w:val="center"/>
            </w:pPr>
            <w:r>
              <w:t>571</w:t>
            </w:r>
          </w:p>
        </w:tc>
        <w:tc>
          <w:tcPr>
            <w:tcW w:w="1403" w:type="dxa"/>
            <w:tcBorders>
              <w:top w:val="single" w:sz="4" w:space="0" w:color="auto"/>
              <w:left w:val="nil"/>
              <w:bottom w:val="single" w:sz="4" w:space="0" w:color="auto"/>
              <w:right w:val="single" w:sz="4" w:space="0" w:color="auto"/>
            </w:tcBorders>
            <w:shd w:val="clear" w:color="auto" w:fill="FFFFFF"/>
            <w:noWrap/>
            <w:vAlign w:val="center"/>
          </w:tcPr>
          <w:p w:rsidR="00D120E6" w:rsidRDefault="00D120E6">
            <w:pPr>
              <w:jc w:val="left"/>
              <w:rPr>
                <w:rFonts w:ascii="Arial CYR" w:hAnsi="Arial CYR"/>
              </w:rPr>
            </w:pP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pPr>
            <w:r>
              <w:t>Зобов'язання перед юридичними особами</w:t>
            </w:r>
          </w:p>
        </w:tc>
        <w:tc>
          <w:tcPr>
            <w:tcW w:w="1275" w:type="dxa"/>
            <w:tcBorders>
              <w:top w:val="single" w:sz="4" w:space="0" w:color="auto"/>
              <w:left w:val="nil"/>
              <w:bottom w:val="single" w:sz="4" w:space="0" w:color="auto"/>
              <w:right w:val="single" w:sz="4" w:space="0" w:color="000000"/>
            </w:tcBorders>
            <w:shd w:val="clear" w:color="auto" w:fill="FFFFFF"/>
            <w:noWrap/>
            <w:vAlign w:val="center"/>
          </w:tcPr>
          <w:p w:rsidR="00D120E6" w:rsidRDefault="00D120E6">
            <w:pPr>
              <w:jc w:val="center"/>
            </w:pPr>
          </w:p>
        </w:tc>
        <w:tc>
          <w:tcPr>
            <w:tcW w:w="1440" w:type="dxa"/>
            <w:tcBorders>
              <w:top w:val="single" w:sz="4" w:space="0" w:color="auto"/>
              <w:left w:val="nil"/>
              <w:bottom w:val="single" w:sz="4" w:space="0" w:color="auto"/>
              <w:right w:val="single" w:sz="4" w:space="0" w:color="000000"/>
            </w:tcBorders>
            <w:shd w:val="clear" w:color="auto" w:fill="FFFFFF"/>
            <w:noWrap/>
            <w:vAlign w:val="center"/>
          </w:tcPr>
          <w:p w:rsidR="00D120E6" w:rsidRDefault="00D120E6">
            <w:pPr>
              <w:jc w:val="center"/>
            </w:pPr>
          </w:p>
        </w:tc>
        <w:tc>
          <w:tcPr>
            <w:tcW w:w="1605" w:type="dxa"/>
            <w:tcBorders>
              <w:top w:val="single" w:sz="4" w:space="0" w:color="auto"/>
              <w:left w:val="nil"/>
              <w:bottom w:val="single" w:sz="4" w:space="0" w:color="auto"/>
              <w:right w:val="single" w:sz="4" w:space="0" w:color="000000"/>
            </w:tcBorders>
            <w:shd w:val="clear" w:color="auto" w:fill="FFFFFF"/>
            <w:noWrap/>
            <w:vAlign w:val="center"/>
          </w:tcPr>
          <w:p w:rsidR="00D120E6" w:rsidRDefault="00D120E6">
            <w:pPr>
              <w:jc w:val="center"/>
            </w:pPr>
          </w:p>
        </w:tc>
        <w:tc>
          <w:tcPr>
            <w:tcW w:w="1403" w:type="dxa"/>
            <w:tcBorders>
              <w:top w:val="single" w:sz="4" w:space="0" w:color="auto"/>
              <w:left w:val="nil"/>
              <w:bottom w:val="single" w:sz="4" w:space="0" w:color="auto"/>
              <w:right w:val="single" w:sz="4" w:space="0" w:color="auto"/>
            </w:tcBorders>
            <w:shd w:val="clear" w:color="auto" w:fill="FFFFFF"/>
            <w:noWrap/>
            <w:vAlign w:val="center"/>
          </w:tcPr>
          <w:p w:rsidR="00D120E6" w:rsidRDefault="00D120E6">
            <w:pPr>
              <w:jc w:val="left"/>
              <w:rPr>
                <w:rFonts w:ascii="Arial CYR" w:hAnsi="Arial CYR"/>
              </w:rPr>
            </w:pPr>
          </w:p>
        </w:tc>
      </w:tr>
      <w:tr w:rsidR="00D120E6" w:rsidTr="00D120E6">
        <w:trPr>
          <w:trHeight w:val="285"/>
        </w:trPr>
        <w:tc>
          <w:tcPr>
            <w:tcW w:w="3780" w:type="dxa"/>
            <w:gridSpan w:val="3"/>
            <w:tcBorders>
              <w:top w:val="single" w:sz="4" w:space="0" w:color="auto"/>
              <w:left w:val="single" w:sz="4" w:space="0" w:color="auto"/>
              <w:bottom w:val="nil"/>
              <w:right w:val="single" w:sz="4" w:space="0" w:color="auto"/>
            </w:tcBorders>
            <w:shd w:val="clear" w:color="auto" w:fill="FFFFFF"/>
            <w:vAlign w:val="center"/>
            <w:hideMark/>
          </w:tcPr>
          <w:p w:rsidR="00D120E6" w:rsidRDefault="00D120E6">
            <w:pPr>
              <w:jc w:val="left"/>
              <w:rPr>
                <w:b/>
                <w:bCs/>
              </w:rPr>
            </w:pPr>
            <w:r>
              <w:rPr>
                <w:b/>
                <w:bCs/>
              </w:rPr>
              <w:t>Усього потенційних майбутніх виплат</w:t>
            </w:r>
          </w:p>
        </w:tc>
        <w:tc>
          <w:tcPr>
            <w:tcW w:w="1275" w:type="dxa"/>
            <w:tcBorders>
              <w:top w:val="single" w:sz="4" w:space="0" w:color="auto"/>
              <w:left w:val="nil"/>
              <w:bottom w:val="nil"/>
              <w:right w:val="single" w:sz="4" w:space="0" w:color="000000"/>
            </w:tcBorders>
            <w:shd w:val="clear" w:color="auto" w:fill="FFFFFF"/>
            <w:noWrap/>
            <w:vAlign w:val="center"/>
          </w:tcPr>
          <w:p w:rsidR="00D120E6" w:rsidRDefault="00EF4D7F">
            <w:pPr>
              <w:jc w:val="center"/>
              <w:rPr>
                <w:b/>
                <w:bCs/>
              </w:rPr>
            </w:pPr>
            <w:r>
              <w:rPr>
                <w:b/>
                <w:bCs/>
              </w:rPr>
              <w:t>100</w:t>
            </w:r>
          </w:p>
        </w:tc>
        <w:tc>
          <w:tcPr>
            <w:tcW w:w="1440" w:type="dxa"/>
            <w:tcBorders>
              <w:top w:val="single" w:sz="4" w:space="0" w:color="auto"/>
              <w:left w:val="nil"/>
              <w:bottom w:val="nil"/>
              <w:right w:val="single" w:sz="4" w:space="0" w:color="000000"/>
            </w:tcBorders>
            <w:shd w:val="clear" w:color="auto" w:fill="FFFFFF"/>
            <w:noWrap/>
            <w:vAlign w:val="center"/>
          </w:tcPr>
          <w:p w:rsidR="00D120E6" w:rsidRDefault="00EF4D7F">
            <w:pPr>
              <w:jc w:val="center"/>
              <w:rPr>
                <w:b/>
                <w:bCs/>
              </w:rPr>
            </w:pPr>
            <w:r>
              <w:rPr>
                <w:b/>
                <w:bCs/>
              </w:rPr>
              <w:t>252</w:t>
            </w:r>
          </w:p>
        </w:tc>
        <w:tc>
          <w:tcPr>
            <w:tcW w:w="1605" w:type="dxa"/>
            <w:tcBorders>
              <w:top w:val="single" w:sz="4" w:space="0" w:color="auto"/>
              <w:left w:val="nil"/>
              <w:bottom w:val="nil"/>
              <w:right w:val="single" w:sz="4" w:space="0" w:color="000000"/>
            </w:tcBorders>
            <w:shd w:val="clear" w:color="auto" w:fill="FFFFFF"/>
            <w:noWrap/>
            <w:vAlign w:val="center"/>
          </w:tcPr>
          <w:p w:rsidR="00D120E6" w:rsidRDefault="00EF4D7F">
            <w:pPr>
              <w:jc w:val="center"/>
              <w:rPr>
                <w:b/>
                <w:bCs/>
              </w:rPr>
            </w:pPr>
            <w:r>
              <w:rPr>
                <w:b/>
                <w:bCs/>
              </w:rPr>
              <w:t>684</w:t>
            </w:r>
          </w:p>
        </w:tc>
        <w:tc>
          <w:tcPr>
            <w:tcW w:w="1403" w:type="dxa"/>
            <w:tcBorders>
              <w:top w:val="single" w:sz="4" w:space="0" w:color="auto"/>
              <w:left w:val="nil"/>
              <w:bottom w:val="nil"/>
              <w:right w:val="single" w:sz="4" w:space="0" w:color="auto"/>
            </w:tcBorders>
            <w:shd w:val="clear" w:color="auto" w:fill="FFFFFF"/>
            <w:noWrap/>
            <w:vAlign w:val="center"/>
          </w:tcPr>
          <w:p w:rsidR="00D120E6" w:rsidRDefault="00D120E6">
            <w:pPr>
              <w:jc w:val="left"/>
            </w:pPr>
          </w:p>
        </w:tc>
      </w:tr>
      <w:tr w:rsidR="00D120E6" w:rsidTr="00D120E6">
        <w:trPr>
          <w:trHeight w:val="285"/>
        </w:trPr>
        <w:tc>
          <w:tcPr>
            <w:tcW w:w="9503" w:type="dxa"/>
            <w:gridSpan w:val="7"/>
            <w:tcBorders>
              <w:top w:val="single" w:sz="4" w:space="0" w:color="auto"/>
              <w:left w:val="single" w:sz="4" w:space="0" w:color="auto"/>
              <w:bottom w:val="single" w:sz="4" w:space="0" w:color="auto"/>
              <w:right w:val="single" w:sz="4" w:space="0" w:color="auto"/>
            </w:tcBorders>
            <w:hideMark/>
          </w:tcPr>
          <w:p w:rsidR="00D120E6" w:rsidRDefault="00D120E6">
            <w:pPr>
              <w:rPr>
                <w:b/>
                <w:bCs/>
              </w:rPr>
            </w:pPr>
            <w:r>
              <w:rPr>
                <w:b/>
                <w:bCs/>
              </w:rPr>
              <w:t>Нормативи ліквідності креди</w:t>
            </w:r>
            <w:r w:rsidR="00EF4D7F">
              <w:rPr>
                <w:b/>
                <w:bCs/>
              </w:rPr>
              <w:t>тної спілки станом на 31.12.2016</w:t>
            </w:r>
            <w:r>
              <w:rPr>
                <w:b/>
                <w:bCs/>
              </w:rPr>
              <w:t xml:space="preserve"> р.</w:t>
            </w:r>
          </w:p>
        </w:tc>
      </w:tr>
      <w:tr w:rsidR="00D120E6" w:rsidTr="00D120E6">
        <w:trPr>
          <w:trHeight w:val="285"/>
        </w:trPr>
        <w:tc>
          <w:tcPr>
            <w:tcW w:w="9503" w:type="dxa"/>
            <w:gridSpan w:val="7"/>
            <w:tcBorders>
              <w:top w:val="single" w:sz="4" w:space="0" w:color="auto"/>
              <w:left w:val="single" w:sz="4" w:space="0" w:color="auto"/>
              <w:bottom w:val="single" w:sz="4" w:space="0" w:color="auto"/>
              <w:right w:val="single" w:sz="4" w:space="0" w:color="auto"/>
            </w:tcBorders>
            <w:hideMark/>
          </w:tcPr>
          <w:p w:rsidR="00D120E6" w:rsidRDefault="00D120E6">
            <w:pPr>
              <w:rPr>
                <w:b/>
                <w:bCs/>
              </w:rPr>
            </w:pPr>
            <w:r>
              <w:rPr>
                <w:b/>
                <w:bCs/>
              </w:rPr>
              <w:t>4.1.1. Миттєва ліквідність</w:t>
            </w:r>
          </w:p>
        </w:tc>
      </w:tr>
      <w:tr w:rsidR="00D120E6" w:rsidTr="00D120E6">
        <w:trPr>
          <w:trHeight w:val="900"/>
        </w:trPr>
        <w:tc>
          <w:tcPr>
            <w:tcW w:w="9503" w:type="dxa"/>
            <w:gridSpan w:val="7"/>
            <w:tcBorders>
              <w:top w:val="single" w:sz="4" w:space="0" w:color="auto"/>
              <w:left w:val="single" w:sz="4" w:space="0" w:color="auto"/>
              <w:bottom w:val="single" w:sz="4" w:space="0" w:color="auto"/>
              <w:right w:val="single" w:sz="4" w:space="0" w:color="auto"/>
            </w:tcBorders>
            <w:hideMark/>
          </w:tcPr>
          <w:p w:rsidR="00D120E6" w:rsidRDefault="00D120E6">
            <w:r>
              <w:t>Норматив миттєвої ліквідності визначається як співвідношення суми грошових коштів у касі та на поточних рахунках у банках до суми внесків (вкладів) членів кредитної спілки на депозитні рахунки до запитання. Нормативне значення складає не менше ніж 10-12%.</w:t>
            </w:r>
            <w:r w:rsidR="008F0F00">
              <w:t xml:space="preserve"> </w:t>
            </w:r>
            <w:r w:rsidR="00EF4D7F">
              <w:t>Фактичне значення складає  999,3</w:t>
            </w:r>
            <w:r w:rsidR="008F0F00">
              <w:t xml:space="preserve"> </w:t>
            </w:r>
            <w:r>
              <w:t>%.</w:t>
            </w:r>
          </w:p>
        </w:tc>
      </w:tr>
      <w:tr w:rsidR="00D120E6" w:rsidTr="00D120E6">
        <w:trPr>
          <w:trHeight w:val="285"/>
        </w:trPr>
        <w:tc>
          <w:tcPr>
            <w:tcW w:w="9503" w:type="dxa"/>
            <w:gridSpan w:val="7"/>
            <w:tcBorders>
              <w:top w:val="single" w:sz="4" w:space="0" w:color="auto"/>
              <w:left w:val="single" w:sz="4" w:space="0" w:color="auto"/>
              <w:bottom w:val="single" w:sz="4" w:space="0" w:color="auto"/>
              <w:right w:val="single" w:sz="4" w:space="0" w:color="auto"/>
            </w:tcBorders>
            <w:hideMark/>
          </w:tcPr>
          <w:p w:rsidR="00D120E6" w:rsidRDefault="00D120E6">
            <w:pPr>
              <w:rPr>
                <w:b/>
                <w:bCs/>
              </w:rPr>
            </w:pPr>
            <w:r>
              <w:rPr>
                <w:b/>
                <w:bCs/>
              </w:rPr>
              <w:t>4.2.1. Короткострокова ліквідність</w:t>
            </w:r>
          </w:p>
        </w:tc>
      </w:tr>
      <w:tr w:rsidR="00D120E6" w:rsidTr="00D120E6">
        <w:trPr>
          <w:trHeight w:val="1155"/>
        </w:trPr>
        <w:tc>
          <w:tcPr>
            <w:tcW w:w="9503" w:type="dxa"/>
            <w:gridSpan w:val="7"/>
            <w:tcBorders>
              <w:top w:val="single" w:sz="4" w:space="0" w:color="auto"/>
              <w:left w:val="single" w:sz="4" w:space="0" w:color="auto"/>
              <w:bottom w:val="single" w:sz="4" w:space="0" w:color="auto"/>
              <w:right w:val="single" w:sz="4" w:space="0" w:color="auto"/>
            </w:tcBorders>
            <w:hideMark/>
          </w:tcPr>
          <w:p w:rsidR="00D120E6" w:rsidRDefault="00D120E6">
            <w:r>
              <w:t>Норматив короткострокової ліквідності визначається як співвідношення ліквідних активів з початковим терміном погашення до одного року до короткострокових зобов'язань з початковим терміном погашення до одного року. Початковим терміном погашення вважається строк, на який укладався відповідний договір до внесення будь-яких змін та доповнень до нього. Нормативне значення складає не менше ніж 100%, фактичн</w:t>
            </w:r>
            <w:r w:rsidR="00EF4D7F">
              <w:t>е значення складає  434,8</w:t>
            </w:r>
            <w:r>
              <w:t>%.</w:t>
            </w:r>
          </w:p>
        </w:tc>
      </w:tr>
      <w:tr w:rsidR="00D120E6" w:rsidTr="00D120E6">
        <w:trPr>
          <w:trHeight w:val="285"/>
        </w:trPr>
        <w:tc>
          <w:tcPr>
            <w:tcW w:w="9503" w:type="dxa"/>
            <w:gridSpan w:val="7"/>
          </w:tcPr>
          <w:p w:rsidR="00D120E6" w:rsidRDefault="00D120E6">
            <w:pPr>
              <w:rPr>
                <w:b/>
                <w:bCs/>
              </w:rPr>
            </w:pPr>
          </w:p>
        </w:tc>
      </w:tr>
      <w:tr w:rsidR="00D120E6" w:rsidTr="00D120E6">
        <w:trPr>
          <w:trHeight w:val="285"/>
        </w:trPr>
        <w:tc>
          <w:tcPr>
            <w:tcW w:w="9503" w:type="dxa"/>
            <w:gridSpan w:val="7"/>
            <w:hideMark/>
          </w:tcPr>
          <w:p w:rsidR="00D120E6" w:rsidRDefault="00D120E6">
            <w:pPr>
              <w:rPr>
                <w:b/>
                <w:bCs/>
              </w:rPr>
            </w:pPr>
            <w:r>
              <w:rPr>
                <w:b/>
                <w:bCs/>
              </w:rPr>
              <w:t xml:space="preserve">Таблиця 2 Деталізація інформації щодо кредитного ризику та розрахунки нормативів якості активів </w:t>
            </w:r>
          </w:p>
        </w:tc>
      </w:tr>
      <w:tr w:rsidR="00D120E6" w:rsidTr="00D120E6">
        <w:trPr>
          <w:trHeight w:val="285"/>
        </w:trPr>
        <w:tc>
          <w:tcPr>
            <w:tcW w:w="2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center"/>
              <w:rPr>
                <w:b/>
                <w:bCs/>
              </w:rPr>
            </w:pPr>
            <w:r>
              <w:rPr>
                <w:b/>
                <w:bCs/>
              </w:rPr>
              <w:t>Інформація, що розкривається</w:t>
            </w:r>
          </w:p>
        </w:tc>
        <w:tc>
          <w:tcPr>
            <w:tcW w:w="6737" w:type="dxa"/>
            <w:gridSpan w:val="6"/>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jc w:val="center"/>
              <w:rPr>
                <w:b/>
                <w:bCs/>
              </w:rPr>
            </w:pPr>
            <w:r>
              <w:rPr>
                <w:b/>
                <w:bCs/>
              </w:rPr>
              <w:t>Опис</w:t>
            </w:r>
          </w:p>
        </w:tc>
      </w:tr>
      <w:tr w:rsidR="00D120E6" w:rsidTr="00D120E6">
        <w:trPr>
          <w:trHeight w:val="1170"/>
        </w:trPr>
        <w:tc>
          <w:tcPr>
            <w:tcW w:w="2766"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jc w:val="left"/>
            </w:pPr>
            <w:r>
              <w:t>Максимальний рівень кредитного ризику</w:t>
            </w:r>
          </w:p>
        </w:tc>
        <w:tc>
          <w:tcPr>
            <w:tcW w:w="6737" w:type="dxa"/>
            <w:gridSpan w:val="6"/>
            <w:tcBorders>
              <w:top w:val="single" w:sz="4" w:space="0" w:color="auto"/>
              <w:left w:val="nil"/>
              <w:bottom w:val="single" w:sz="4" w:space="0" w:color="auto"/>
              <w:right w:val="single" w:sz="4" w:space="0" w:color="000000"/>
            </w:tcBorders>
            <w:shd w:val="clear" w:color="auto" w:fill="FFFFFF"/>
            <w:vAlign w:val="center"/>
            <w:hideMark/>
          </w:tcPr>
          <w:p w:rsidR="00D120E6" w:rsidRDefault="00D120E6">
            <w:r>
              <w:t xml:space="preserve">Під максимальним рівнем кредитного ризику кредитна спілка визначає розмір кредитного портфеля з вирахуванням сформованого резерву покриття втрат від </w:t>
            </w:r>
            <w:proofErr w:type="spellStart"/>
            <w:r>
              <w:t>неповерених</w:t>
            </w:r>
            <w:proofErr w:type="spellEnd"/>
            <w:r>
              <w:t xml:space="preserve"> позичок, що станом</w:t>
            </w:r>
            <w:r w:rsidR="00EF4D7F">
              <w:t xml:space="preserve"> на 31.12.2016 р. складає  4591</w:t>
            </w:r>
            <w:r w:rsidR="00FE0778">
              <w:t xml:space="preserve"> </w:t>
            </w:r>
            <w:r>
              <w:t xml:space="preserve"> </w:t>
            </w:r>
            <w:proofErr w:type="spellStart"/>
            <w:r>
              <w:t>тис.грн</w:t>
            </w:r>
            <w:proofErr w:type="spellEnd"/>
            <w:r>
              <w:t>.</w:t>
            </w:r>
          </w:p>
        </w:tc>
      </w:tr>
      <w:tr w:rsidR="00D120E6" w:rsidTr="00D120E6">
        <w:trPr>
          <w:trHeight w:val="1965"/>
        </w:trPr>
        <w:tc>
          <w:tcPr>
            <w:tcW w:w="2766"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jc w:val="left"/>
            </w:pPr>
            <w:r>
              <w:t>Опис застави, утримуваної як забезпечення, та інших посилень кредиту, а також їхнього фінансового впливу</w:t>
            </w:r>
          </w:p>
        </w:tc>
        <w:tc>
          <w:tcPr>
            <w:tcW w:w="6737" w:type="dxa"/>
            <w:gridSpan w:val="6"/>
            <w:tcBorders>
              <w:top w:val="single" w:sz="4" w:space="0" w:color="auto"/>
              <w:left w:val="nil"/>
              <w:bottom w:val="single" w:sz="4" w:space="0" w:color="auto"/>
              <w:right w:val="single" w:sz="4" w:space="0" w:color="000000"/>
            </w:tcBorders>
            <w:shd w:val="clear" w:color="auto" w:fill="FFFFFF"/>
            <w:vAlign w:val="center"/>
            <w:hideMark/>
          </w:tcPr>
          <w:p w:rsidR="00D120E6" w:rsidRDefault="00D120E6">
            <w:r>
              <w:t>Кредитна спілка надає кредити своїм членам під заст</w:t>
            </w:r>
            <w:r w:rsidR="00FE0778">
              <w:t xml:space="preserve">аву </w:t>
            </w:r>
            <w:r>
              <w:t xml:space="preserve"> нерухомого майна, а також активно використовує такий вид забезпечення, як порука, враховуючи концентровану на певному регіоні діяльність кредитної спілки та менталітет її членів. Поручителями можуть виступати як інші члени кредитної спілки, так і інші особи, за умови відповідності встановленим вимогам щодо платоспроможності позичальника та поручителя.  </w:t>
            </w:r>
          </w:p>
        </w:tc>
      </w:tr>
      <w:tr w:rsidR="00D120E6" w:rsidRPr="00D120E6" w:rsidTr="00D120E6">
        <w:trPr>
          <w:trHeight w:val="1920"/>
        </w:trPr>
        <w:tc>
          <w:tcPr>
            <w:tcW w:w="2766"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jc w:val="left"/>
            </w:pPr>
            <w:r>
              <w:lastRenderedPageBreak/>
              <w:t>Інформація про кредитну якість фінансових активів, які не є ані простроченими, ані знеціненими</w:t>
            </w:r>
          </w:p>
        </w:tc>
        <w:tc>
          <w:tcPr>
            <w:tcW w:w="6737" w:type="dxa"/>
            <w:gridSpan w:val="6"/>
            <w:tcBorders>
              <w:top w:val="single" w:sz="4" w:space="0" w:color="auto"/>
              <w:left w:val="nil"/>
              <w:bottom w:val="single" w:sz="4" w:space="0" w:color="auto"/>
              <w:right w:val="single" w:sz="4" w:space="0" w:color="000000"/>
            </w:tcBorders>
            <w:shd w:val="clear" w:color="auto" w:fill="FFFFFF"/>
            <w:vAlign w:val="center"/>
            <w:hideMark/>
          </w:tcPr>
          <w:p w:rsidR="00D120E6" w:rsidRDefault="00EF4D7F">
            <w:r>
              <w:t>Станом на 31 грудня 2016 року кредитна спілка має 4102</w:t>
            </w:r>
            <w:r w:rsidR="00D120E6">
              <w:t xml:space="preserve"> тис. грн. фінансових активів, які не є ані простроченими, ані знеціненими. Кредитна спілка, відповідно до Положення про фінансові послуги, здійснює постійний моніторинг кредитного портфеля, підтримує зв'язок із позичальниками нагадує про необхідність здійснення чергового платежу, що позитивно впливає на якість кредитного портфеля. </w:t>
            </w:r>
          </w:p>
        </w:tc>
      </w:tr>
      <w:tr w:rsidR="00D120E6" w:rsidTr="00D120E6">
        <w:trPr>
          <w:trHeight w:val="1125"/>
        </w:trPr>
        <w:tc>
          <w:tcPr>
            <w:tcW w:w="2766"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jc w:val="left"/>
            </w:pPr>
            <w:r>
              <w:t>Фінансові активи, які є або простроченими, або знеціненими</w:t>
            </w:r>
          </w:p>
        </w:tc>
        <w:tc>
          <w:tcPr>
            <w:tcW w:w="6737" w:type="dxa"/>
            <w:gridSpan w:val="6"/>
            <w:tcBorders>
              <w:top w:val="single" w:sz="4" w:space="0" w:color="auto"/>
              <w:left w:val="nil"/>
              <w:bottom w:val="single" w:sz="4" w:space="0" w:color="auto"/>
              <w:right w:val="single" w:sz="4" w:space="0" w:color="000000"/>
            </w:tcBorders>
            <w:shd w:val="clear" w:color="auto" w:fill="FFFFFF"/>
            <w:vAlign w:val="center"/>
            <w:hideMark/>
          </w:tcPr>
          <w:p w:rsidR="00D120E6" w:rsidRDefault="00EF4D7F">
            <w:r>
              <w:t>Станом на 31 грудня 2016</w:t>
            </w:r>
            <w:r w:rsidR="00D120E6">
              <w:t xml:space="preserve"> року кредитна спілка має про</w:t>
            </w:r>
            <w:r w:rsidR="00FE0778">
              <w:t xml:space="preserve">строчених кредитів на суму </w:t>
            </w:r>
            <w:r>
              <w:rPr>
                <w:u w:val="single"/>
              </w:rPr>
              <w:t>1778</w:t>
            </w:r>
            <w:r w:rsidR="00D120E6" w:rsidRPr="00FE0778">
              <w:rPr>
                <w:u w:val="single"/>
              </w:rPr>
              <w:t xml:space="preserve"> тис. грн</w:t>
            </w:r>
            <w:r w:rsidR="00D120E6">
              <w:t>., в тому ч</w:t>
            </w:r>
            <w:r w:rsidR="00FE0778">
              <w:t xml:space="preserve">ислі прострочені 31-90 днів </w:t>
            </w:r>
            <w:r>
              <w:rPr>
                <w:u w:val="single"/>
              </w:rPr>
              <w:t>300</w:t>
            </w:r>
            <w:r w:rsidR="00FE0778" w:rsidRPr="00FE0778">
              <w:rPr>
                <w:u w:val="single"/>
              </w:rPr>
              <w:t xml:space="preserve"> тис. грн</w:t>
            </w:r>
            <w:r w:rsidR="00FE0778">
              <w:t xml:space="preserve">., 91-180 днів  </w:t>
            </w:r>
            <w:r>
              <w:rPr>
                <w:u w:val="single"/>
              </w:rPr>
              <w:t>187</w:t>
            </w:r>
            <w:r w:rsidR="00FE0778" w:rsidRPr="00FE0778">
              <w:rPr>
                <w:u w:val="single"/>
              </w:rPr>
              <w:t xml:space="preserve"> тис. грн.,</w:t>
            </w:r>
            <w:r w:rsidR="00FE0778">
              <w:t xml:space="preserve"> 181-365 днів  </w:t>
            </w:r>
            <w:r w:rsidR="00460372">
              <w:rPr>
                <w:u w:val="single"/>
              </w:rPr>
              <w:t>22</w:t>
            </w:r>
            <w:r w:rsidR="00FE0778" w:rsidRPr="00FE0778">
              <w:rPr>
                <w:u w:val="single"/>
              </w:rPr>
              <w:t>4</w:t>
            </w:r>
            <w:r w:rsidR="00D120E6" w:rsidRPr="00FE0778">
              <w:rPr>
                <w:u w:val="single"/>
              </w:rPr>
              <w:t xml:space="preserve"> т</w:t>
            </w:r>
            <w:r w:rsidR="00FE0778" w:rsidRPr="00FE0778">
              <w:rPr>
                <w:u w:val="single"/>
              </w:rPr>
              <w:t>ис. грн</w:t>
            </w:r>
            <w:r w:rsidR="00FE0778">
              <w:t xml:space="preserve">. та більше 365 днів </w:t>
            </w:r>
            <w:r w:rsidR="00460372">
              <w:rPr>
                <w:u w:val="single"/>
              </w:rPr>
              <w:t>1067</w:t>
            </w:r>
            <w:r w:rsidR="00D120E6" w:rsidRPr="00FE0778">
              <w:rPr>
                <w:u w:val="single"/>
              </w:rPr>
              <w:t xml:space="preserve"> тис. грн</w:t>
            </w:r>
            <w:r w:rsidR="00D120E6">
              <w:t xml:space="preserve">.   </w:t>
            </w:r>
          </w:p>
        </w:tc>
      </w:tr>
      <w:tr w:rsidR="00D120E6" w:rsidTr="00D120E6">
        <w:trPr>
          <w:trHeight w:val="1455"/>
        </w:trPr>
        <w:tc>
          <w:tcPr>
            <w:tcW w:w="2766"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jc w:val="left"/>
            </w:pPr>
            <w:r>
              <w:t>Застава та інші отримані посилення кредиту</w:t>
            </w:r>
          </w:p>
        </w:tc>
        <w:tc>
          <w:tcPr>
            <w:tcW w:w="6737" w:type="dxa"/>
            <w:gridSpan w:val="6"/>
            <w:tcBorders>
              <w:top w:val="single" w:sz="4" w:space="0" w:color="auto"/>
              <w:left w:val="nil"/>
              <w:bottom w:val="single" w:sz="4" w:space="0" w:color="auto"/>
              <w:right w:val="single" w:sz="4" w:space="0" w:color="000000"/>
            </w:tcBorders>
            <w:shd w:val="clear" w:color="auto" w:fill="FFFFFF"/>
            <w:vAlign w:val="center"/>
            <w:hideMark/>
          </w:tcPr>
          <w:p w:rsidR="00D120E6" w:rsidRDefault="00D120E6">
            <w:r>
              <w:t xml:space="preserve"> В режимі поточної діяльності кредитна спілка не зберігає заставлене майно у зв'язку з відсутністю можливостей та умов зберігання</w:t>
            </w:r>
            <w:r w:rsidR="00FE0778">
              <w:t>.</w:t>
            </w:r>
          </w:p>
        </w:tc>
      </w:tr>
      <w:tr w:rsidR="00D120E6" w:rsidTr="00D120E6">
        <w:trPr>
          <w:trHeight w:val="285"/>
        </w:trPr>
        <w:tc>
          <w:tcPr>
            <w:tcW w:w="9503" w:type="dxa"/>
            <w:gridSpan w:val="7"/>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jc w:val="center"/>
              <w:rPr>
                <w:b/>
                <w:bCs/>
              </w:rPr>
            </w:pPr>
            <w:r>
              <w:rPr>
                <w:b/>
                <w:bCs/>
              </w:rPr>
              <w:t>Розрахунок нормативів якості активів</w:t>
            </w:r>
          </w:p>
        </w:tc>
      </w:tr>
      <w:tr w:rsidR="00D120E6" w:rsidTr="00D120E6">
        <w:trPr>
          <w:trHeight w:val="2055"/>
        </w:trPr>
        <w:tc>
          <w:tcPr>
            <w:tcW w:w="28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b/>
                <w:bCs/>
                <w:sz w:val="20"/>
                <w:szCs w:val="20"/>
                <w:lang w:eastAsia="uk-UA"/>
              </w:rPr>
            </w:pPr>
            <w:r>
              <w:rPr>
                <w:b/>
                <w:bCs/>
                <w:sz w:val="20"/>
                <w:szCs w:val="20"/>
                <w:lang w:eastAsia="uk-UA"/>
              </w:rPr>
              <w:t>3.1. Проблемні кредити до кредитів</w:t>
            </w:r>
          </w:p>
        </w:tc>
        <w:tc>
          <w:tcPr>
            <w:tcW w:w="6663" w:type="dxa"/>
            <w:gridSpan w:val="5"/>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rPr>
                <w:sz w:val="20"/>
                <w:szCs w:val="20"/>
                <w:lang w:eastAsia="uk-UA"/>
              </w:rPr>
            </w:pPr>
            <w:r>
              <w:rPr>
                <w:sz w:val="20"/>
                <w:szCs w:val="20"/>
                <w:lang w:eastAsia="uk-UA"/>
              </w:rPr>
              <w:t>Відношення загальної суми заборгованості за простроченими, неповерненими, безнадійними та продовженими (пролонгованими) кредитами, не перекритої сформованим резервом  забезпечення покриття втрат від неповернених позичок, до загальної суми заборгованості  за наданими кредитами для кредитних спілок, окрім об'єднаних кредитних спілок.</w:t>
            </w:r>
            <w:r w:rsidR="0059365A">
              <w:rPr>
                <w:sz w:val="20"/>
                <w:szCs w:val="20"/>
                <w:lang w:eastAsia="uk-UA"/>
              </w:rPr>
              <w:t xml:space="preserve"> </w:t>
            </w:r>
            <w:r>
              <w:rPr>
                <w:sz w:val="20"/>
                <w:szCs w:val="20"/>
                <w:lang w:eastAsia="uk-UA"/>
              </w:rPr>
              <w:t>Нормативне значення цього нормативу не більше ніж від 8 до 12% в залежності від групи регулювання.</w:t>
            </w:r>
            <w:r w:rsidR="0059365A">
              <w:rPr>
                <w:sz w:val="20"/>
                <w:szCs w:val="20"/>
                <w:lang w:eastAsia="uk-UA"/>
              </w:rPr>
              <w:t xml:space="preserve"> Фактичне значення нормативу 8,3</w:t>
            </w:r>
            <w:r>
              <w:rPr>
                <w:sz w:val="20"/>
                <w:szCs w:val="20"/>
                <w:lang w:eastAsia="uk-UA"/>
              </w:rPr>
              <w:t>%</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Умовні зобов’язання та умовні активи</w:t>
      </w:r>
    </w:p>
    <w:p w:rsidR="00D120E6" w:rsidRDefault="00887724"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Станом на 31.12.201</w:t>
      </w:r>
      <w:r w:rsidRPr="00887724">
        <w:rPr>
          <w:lang w:val="ru-RU"/>
        </w:rPr>
        <w:t>6</w:t>
      </w:r>
      <w:r w:rsidR="00D120E6">
        <w:t xml:space="preserve"> р. кредитна спілка не ідентифікує умовних зобов’язань та умовних активів у розумінні МСБО 37. </w:t>
      </w:r>
    </w:p>
    <w:p w:rsidR="00460372" w:rsidRDefault="00460372"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Події після дати балансу</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Датою затвердження фінансової звітності кредитна спілка </w:t>
      </w:r>
      <w:r w:rsidRPr="00E472A7">
        <w:rPr>
          <w:bCs/>
        </w:rPr>
        <w:t>визначає</w:t>
      </w:r>
      <w:r w:rsidR="00E472A7" w:rsidRPr="00E472A7">
        <w:rPr>
          <w:bCs/>
          <w:lang w:val="ru-RU"/>
        </w:rPr>
        <w:t xml:space="preserve"> 22</w:t>
      </w:r>
      <w:r w:rsidR="000541FA" w:rsidRPr="00E472A7">
        <w:rPr>
          <w:bCs/>
          <w:lang w:val="ru-RU"/>
        </w:rPr>
        <w:t xml:space="preserve"> </w:t>
      </w:r>
      <w:r w:rsidR="00460372" w:rsidRPr="00E472A7">
        <w:rPr>
          <w:bCs/>
          <w:lang w:val="ru-RU"/>
        </w:rPr>
        <w:t>лютого 2017</w:t>
      </w:r>
      <w:r w:rsidR="000541FA" w:rsidRPr="00E472A7">
        <w:rPr>
          <w:bCs/>
          <w:lang w:val="ru-RU"/>
        </w:rPr>
        <w:t>р</w:t>
      </w:r>
      <w:r w:rsidR="000541FA">
        <w:rPr>
          <w:bCs/>
          <w:lang w:val="ru-RU"/>
        </w:rPr>
        <w:t>.</w:t>
      </w:r>
      <w:r>
        <w:rPr>
          <w:bCs/>
        </w:rPr>
        <w:t xml:space="preserve"> Це дата розгляду та затвердження фінансової звітності спостережною радою до подання </w:t>
      </w:r>
      <w:r w:rsidR="000541FA">
        <w:rPr>
          <w:bCs/>
        </w:rPr>
        <w:t>регулятор</w:t>
      </w:r>
      <w:r>
        <w:rPr>
          <w:bCs/>
        </w:rPr>
        <w:t xml:space="preserve">у та публікації, що в розумінні МСБО 10 є датою затвердження до випуску. </w:t>
      </w:r>
    </w:p>
    <w:p w:rsidR="00D120E6" w:rsidRDefault="003F3DBE"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З 01 січня </w:t>
      </w:r>
      <w:r w:rsidR="00460372">
        <w:rPr>
          <w:bCs/>
        </w:rPr>
        <w:t>2017</w:t>
      </w:r>
      <w:r w:rsidR="000541FA">
        <w:rPr>
          <w:bCs/>
        </w:rPr>
        <w:t xml:space="preserve"> по </w:t>
      </w:r>
      <w:r w:rsidR="00E472A7" w:rsidRPr="00E472A7">
        <w:rPr>
          <w:bCs/>
        </w:rPr>
        <w:t>22</w:t>
      </w:r>
      <w:r w:rsidR="00460372" w:rsidRPr="00E472A7">
        <w:rPr>
          <w:bCs/>
        </w:rPr>
        <w:t xml:space="preserve"> лютого 2017</w:t>
      </w:r>
      <w:r w:rsidR="000541FA" w:rsidRPr="00E472A7">
        <w:rPr>
          <w:bCs/>
        </w:rPr>
        <w:t>р</w:t>
      </w:r>
      <w:r w:rsidR="000541FA">
        <w:rPr>
          <w:bCs/>
        </w:rPr>
        <w:t xml:space="preserve"> </w:t>
      </w:r>
      <w:r w:rsidR="00D120E6">
        <w:rPr>
          <w:bCs/>
        </w:rPr>
        <w:t xml:space="preserve">кредитна спілка не ідентифікувала подій, які б вимагали коригування після звітного періоду та які не вимагають коригування після звітного періоду в розумінні МСБО 10.  </w:t>
      </w:r>
    </w:p>
    <w:p w:rsidR="0053603F" w:rsidRDefault="0053603F"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3603F" w:rsidRDefault="0053603F"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        Голова Правління</w:t>
      </w:r>
      <w:r>
        <w:rPr>
          <w:bCs/>
        </w:rPr>
        <w:tab/>
      </w:r>
      <w:r>
        <w:rPr>
          <w:bCs/>
        </w:rPr>
        <w:tab/>
      </w:r>
      <w:r w:rsidR="0053603F">
        <w:rPr>
          <w:bCs/>
        </w:rPr>
        <w:t xml:space="preserve">        </w:t>
      </w:r>
      <w:proofErr w:type="spellStart"/>
      <w:r w:rsidR="0053603F">
        <w:rPr>
          <w:bCs/>
        </w:rPr>
        <w:t>Зілгалова</w:t>
      </w:r>
      <w:proofErr w:type="spellEnd"/>
      <w:r w:rsidR="0053603F">
        <w:rPr>
          <w:bCs/>
        </w:rPr>
        <w:t xml:space="preserve"> М.М.</w:t>
      </w:r>
      <w:r>
        <w:rPr>
          <w:bCs/>
        </w:rPr>
        <w:tab/>
      </w:r>
      <w:r>
        <w:rPr>
          <w:bCs/>
        </w:rPr>
        <w:tab/>
      </w:r>
      <w:r>
        <w:rPr>
          <w:bCs/>
        </w:rPr>
        <w:tab/>
        <w:t xml:space="preserve">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        Головний бухгалтер</w:t>
      </w:r>
      <w:r>
        <w:rPr>
          <w:bCs/>
        </w:rPr>
        <w:tab/>
      </w:r>
      <w:r w:rsidR="0053603F">
        <w:rPr>
          <w:bCs/>
        </w:rPr>
        <w:t xml:space="preserve">            </w:t>
      </w:r>
      <w:r>
        <w:rPr>
          <w:bCs/>
        </w:rPr>
        <w:tab/>
      </w:r>
      <w:r>
        <w:rPr>
          <w:bCs/>
        </w:rPr>
        <w:tab/>
      </w:r>
      <w:proofErr w:type="spellStart"/>
      <w:r w:rsidR="00460372">
        <w:rPr>
          <w:bCs/>
        </w:rPr>
        <w:t>Булеца</w:t>
      </w:r>
      <w:proofErr w:type="spellEnd"/>
      <w:r w:rsidR="0053603F">
        <w:rPr>
          <w:bCs/>
        </w:rPr>
        <w:t xml:space="preserve"> Л.В.</w:t>
      </w:r>
      <w:r>
        <w:rPr>
          <w:bCs/>
        </w:rPr>
        <w:tab/>
      </w:r>
      <w:r>
        <w:rPr>
          <w:bCs/>
        </w:rPr>
        <w:tab/>
      </w:r>
      <w:r>
        <w:rPr>
          <w:bCs/>
        </w:rPr>
        <w:tab/>
      </w:r>
    </w:p>
    <w:p w:rsidR="00B47EFF" w:rsidRDefault="00B47EFF"/>
    <w:sectPr w:rsidR="00B47EFF" w:rsidSect="00D72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Futuris">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1205D1E"/>
    <w:multiLevelType w:val="hybridMultilevel"/>
    <w:tmpl w:val="DE24963C"/>
    <w:lvl w:ilvl="0" w:tplc="E53E01F4">
      <w:start w:val="1"/>
      <w:numFmt w:val="bullet"/>
      <w:pStyle w:val="a"/>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17362C61"/>
    <w:multiLevelType w:val="hybridMultilevel"/>
    <w:tmpl w:val="6A0AA382"/>
    <w:lvl w:ilvl="0" w:tplc="04190001">
      <w:start w:val="1"/>
      <w:numFmt w:val="bullet"/>
      <w:lvlText w:val=""/>
      <w:lvlJc w:val="left"/>
      <w:pPr>
        <w:ind w:left="1170" w:hanging="360"/>
      </w:pPr>
      <w:rPr>
        <w:rFonts w:ascii="Symbol" w:hAnsi="Symbol"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3">
    <w:nsid w:val="21894166"/>
    <w:multiLevelType w:val="hybridMultilevel"/>
    <w:tmpl w:val="A0D6A1EE"/>
    <w:lvl w:ilvl="0" w:tplc="A6E083D2">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21DB0055"/>
    <w:multiLevelType w:val="hybridMultilevel"/>
    <w:tmpl w:val="DE76E4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20D042A"/>
    <w:multiLevelType w:val="hybridMultilevel"/>
    <w:tmpl w:val="9C6C7BB4"/>
    <w:lvl w:ilvl="0" w:tplc="8CAE5B4A">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3F94FAB"/>
    <w:multiLevelType w:val="hybridMultilevel"/>
    <w:tmpl w:val="206297C8"/>
    <w:lvl w:ilvl="0" w:tplc="62CA7E34">
      <w:start w:val="2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967FC5"/>
    <w:multiLevelType w:val="hybridMultilevel"/>
    <w:tmpl w:val="E91451A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95A5127"/>
    <w:multiLevelType w:val="hybridMultilevel"/>
    <w:tmpl w:val="A5A40BD6"/>
    <w:lvl w:ilvl="0" w:tplc="5C2A0B4C">
      <w:start w:val="2"/>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9">
    <w:nsid w:val="67561344"/>
    <w:multiLevelType w:val="multilevel"/>
    <w:tmpl w:val="5BB6BF72"/>
    <w:lvl w:ilvl="0">
      <w:start w:val="1"/>
      <w:numFmt w:val="decimal"/>
      <w:pStyle w:val="a0"/>
      <w:lvlText w:val="Примітка %1"/>
      <w:lvlJc w:val="left"/>
      <w:pPr>
        <w:ind w:left="0" w:firstLine="0"/>
      </w:pPr>
    </w:lvl>
    <w:lvl w:ilvl="1">
      <w:start w:val="1"/>
      <w:numFmt w:val="decimal"/>
      <w:lvlText w:val="Примітка %1.%2 "/>
      <w:lvlJc w:val="left"/>
      <w:pPr>
        <w:ind w:left="3403" w:firstLine="0"/>
      </w:pPr>
    </w:lvl>
    <w:lvl w:ilvl="2">
      <w:start w:val="1"/>
      <w:numFmt w:val="decimal"/>
      <w:lvlRestart w:val="1"/>
      <w:lvlText w:val="%1.%2.%3"/>
      <w:lvlJc w:val="left"/>
      <w:pPr>
        <w:ind w:left="3687" w:firstLine="0"/>
      </w:pPr>
      <w:rPr>
        <w:spacing w:val="0"/>
        <w:sz w:val="24"/>
      </w:rPr>
    </w:lvl>
    <w:lvl w:ilvl="3">
      <w:start w:val="1"/>
      <w:numFmt w:val="decimal"/>
      <w:lvlText w:val="(%4)"/>
      <w:lvlJc w:val="left"/>
      <w:pPr>
        <w:ind w:left="3971" w:firstLine="0"/>
      </w:pPr>
    </w:lvl>
    <w:lvl w:ilvl="4">
      <w:start w:val="1"/>
      <w:numFmt w:val="lowerLetter"/>
      <w:lvlText w:val="(%5)"/>
      <w:lvlJc w:val="left"/>
      <w:pPr>
        <w:ind w:left="4255" w:firstLine="0"/>
      </w:pPr>
    </w:lvl>
    <w:lvl w:ilvl="5">
      <w:start w:val="1"/>
      <w:numFmt w:val="lowerRoman"/>
      <w:lvlText w:val="(%6)"/>
      <w:lvlJc w:val="left"/>
      <w:pPr>
        <w:ind w:left="4539" w:firstLine="0"/>
      </w:pPr>
    </w:lvl>
    <w:lvl w:ilvl="6">
      <w:start w:val="1"/>
      <w:numFmt w:val="decimal"/>
      <w:lvlText w:val="%7."/>
      <w:lvlJc w:val="left"/>
      <w:pPr>
        <w:ind w:left="4823" w:firstLine="0"/>
      </w:pPr>
    </w:lvl>
    <w:lvl w:ilvl="7">
      <w:start w:val="1"/>
      <w:numFmt w:val="lowerLetter"/>
      <w:lvlText w:val="%8."/>
      <w:lvlJc w:val="left"/>
      <w:pPr>
        <w:ind w:left="5107" w:firstLine="0"/>
      </w:pPr>
    </w:lvl>
    <w:lvl w:ilvl="8">
      <w:start w:val="1"/>
      <w:numFmt w:val="lowerRoman"/>
      <w:lvlText w:val="%9."/>
      <w:lvlJc w:val="left"/>
      <w:pPr>
        <w:ind w:left="5391" w:firstLine="0"/>
      </w:pPr>
    </w:lvl>
  </w:abstractNum>
  <w:abstractNum w:abstractNumId="10">
    <w:nsid w:val="76BB2D01"/>
    <w:multiLevelType w:val="hybridMultilevel"/>
    <w:tmpl w:val="38928DAE"/>
    <w:lvl w:ilvl="0" w:tplc="83782CF0">
      <w:start w:val="239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652D1F"/>
    <w:multiLevelType w:val="hybridMultilevel"/>
    <w:tmpl w:val="289649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4"/>
  </w:num>
  <w:num w:numId="5">
    <w:abstractNumId w:val="5"/>
  </w:num>
  <w:num w:numId="6">
    <w:abstractNumId w:val="2"/>
  </w:num>
  <w:num w:numId="7">
    <w:abstractNumId w:val="1"/>
  </w:num>
  <w:num w:numId="8">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283"/>
        <w:lvlJc w:val="left"/>
        <w:pPr>
          <w:ind w:left="992" w:hanging="283"/>
        </w:pPr>
        <w:rPr>
          <w:rFonts w:ascii="Symbol" w:hAnsi="Symbol" w:hint="default"/>
        </w:rPr>
      </w:lvl>
    </w:lvlOverride>
  </w:num>
  <w:num w:numId="10">
    <w:abstractNumId w:val="11"/>
  </w:num>
  <w:num w:numId="11">
    <w:abstractNumId w:val="7"/>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E6"/>
    <w:rsid w:val="00012823"/>
    <w:rsid w:val="000541FA"/>
    <w:rsid w:val="000E22F0"/>
    <w:rsid w:val="00131932"/>
    <w:rsid w:val="001C78AD"/>
    <w:rsid w:val="001D66D9"/>
    <w:rsid w:val="00230D08"/>
    <w:rsid w:val="00234198"/>
    <w:rsid w:val="002A7D00"/>
    <w:rsid w:val="002C0D0C"/>
    <w:rsid w:val="003365F7"/>
    <w:rsid w:val="00384A84"/>
    <w:rsid w:val="003F3DBE"/>
    <w:rsid w:val="00460372"/>
    <w:rsid w:val="004A7C6F"/>
    <w:rsid w:val="004F58BC"/>
    <w:rsid w:val="0053603F"/>
    <w:rsid w:val="0059365A"/>
    <w:rsid w:val="005A0096"/>
    <w:rsid w:val="006137EB"/>
    <w:rsid w:val="006D69E5"/>
    <w:rsid w:val="00733728"/>
    <w:rsid w:val="00750F48"/>
    <w:rsid w:val="007752AD"/>
    <w:rsid w:val="007A50C3"/>
    <w:rsid w:val="00887724"/>
    <w:rsid w:val="00887999"/>
    <w:rsid w:val="008C61A2"/>
    <w:rsid w:val="008E45BA"/>
    <w:rsid w:val="008F0F00"/>
    <w:rsid w:val="00954381"/>
    <w:rsid w:val="00986B35"/>
    <w:rsid w:val="00994FB2"/>
    <w:rsid w:val="009A79E8"/>
    <w:rsid w:val="00A10B13"/>
    <w:rsid w:val="00A23AA5"/>
    <w:rsid w:val="00A84C4B"/>
    <w:rsid w:val="00AA2AEA"/>
    <w:rsid w:val="00AC7471"/>
    <w:rsid w:val="00B42857"/>
    <w:rsid w:val="00B47EFF"/>
    <w:rsid w:val="00C10884"/>
    <w:rsid w:val="00C269EE"/>
    <w:rsid w:val="00C81F4E"/>
    <w:rsid w:val="00C96DEE"/>
    <w:rsid w:val="00CA3A85"/>
    <w:rsid w:val="00CF5DD3"/>
    <w:rsid w:val="00D120E6"/>
    <w:rsid w:val="00D228FA"/>
    <w:rsid w:val="00D720EF"/>
    <w:rsid w:val="00D81C48"/>
    <w:rsid w:val="00D95AFB"/>
    <w:rsid w:val="00E472A7"/>
    <w:rsid w:val="00EA1F20"/>
    <w:rsid w:val="00EA5DDB"/>
    <w:rsid w:val="00EF4D7F"/>
    <w:rsid w:val="00F960AF"/>
    <w:rsid w:val="00FB119A"/>
    <w:rsid w:val="00FD0C9F"/>
    <w:rsid w:val="00FD4988"/>
    <w:rsid w:val="00FE0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Table Grid 1" w:uiPriority="0"/>
    <w:lsdException w:name="Table Grid 2"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120E6"/>
    <w:pPr>
      <w:spacing w:after="0" w:line="240" w:lineRule="auto"/>
      <w:jc w:val="both"/>
    </w:pPr>
    <w:rPr>
      <w:rFonts w:ascii="Times New Roman" w:eastAsia="Times New Roman" w:hAnsi="Times New Roman" w:cs="Times New Roman"/>
      <w:sz w:val="24"/>
      <w:szCs w:val="24"/>
      <w:lang w:val="uk-UA" w:eastAsia="ru-RU"/>
    </w:rPr>
  </w:style>
  <w:style w:type="paragraph" w:styleId="1">
    <w:name w:val="heading 1"/>
    <w:basedOn w:val="a1"/>
    <w:next w:val="a1"/>
    <w:link w:val="10"/>
    <w:qFormat/>
    <w:rsid w:val="00D120E6"/>
    <w:pPr>
      <w:keepNext/>
      <w:spacing w:before="240" w:after="60"/>
      <w:outlineLvl w:val="0"/>
    </w:pPr>
    <w:rPr>
      <w:rFonts w:ascii="Arial" w:hAnsi="Arial" w:cs="Arial"/>
      <w:b/>
      <w:bCs/>
      <w:kern w:val="32"/>
      <w:sz w:val="32"/>
      <w:szCs w:val="32"/>
    </w:rPr>
  </w:style>
  <w:style w:type="paragraph" w:styleId="2">
    <w:name w:val="heading 2"/>
    <w:basedOn w:val="a1"/>
    <w:next w:val="a1"/>
    <w:link w:val="21"/>
    <w:semiHidden/>
    <w:unhideWhenUsed/>
    <w:qFormat/>
    <w:rsid w:val="00D120E6"/>
    <w:pPr>
      <w:keepNext/>
      <w:spacing w:before="240" w:after="60"/>
      <w:outlineLvl w:val="1"/>
    </w:pPr>
    <w:rPr>
      <w:rFonts w:ascii="Arial" w:hAnsi="Arial" w:cs="Arial"/>
      <w:b/>
      <w:bCs/>
      <w:i/>
      <w:iCs/>
      <w:sz w:val="28"/>
      <w:szCs w:val="28"/>
    </w:rPr>
  </w:style>
  <w:style w:type="paragraph" w:styleId="3">
    <w:name w:val="heading 3"/>
    <w:basedOn w:val="a1"/>
    <w:link w:val="30"/>
    <w:semiHidden/>
    <w:unhideWhenUsed/>
    <w:qFormat/>
    <w:rsid w:val="00D120E6"/>
    <w:pPr>
      <w:spacing w:before="100" w:beforeAutospacing="1" w:after="100" w:afterAutospacing="1"/>
      <w:outlineLvl w:val="2"/>
    </w:pPr>
    <w:rPr>
      <w:b/>
      <w:bCs/>
      <w:sz w:val="27"/>
      <w:szCs w:val="27"/>
    </w:rPr>
  </w:style>
  <w:style w:type="paragraph" w:styleId="4">
    <w:name w:val="heading 4"/>
    <w:basedOn w:val="a1"/>
    <w:next w:val="a1"/>
    <w:link w:val="40"/>
    <w:semiHidden/>
    <w:unhideWhenUsed/>
    <w:qFormat/>
    <w:rsid w:val="00D120E6"/>
    <w:pPr>
      <w:keepNext/>
      <w:suppressAutoHyphens/>
      <w:spacing w:before="240" w:after="60"/>
      <w:outlineLvl w:val="3"/>
    </w:pPr>
    <w:rPr>
      <w:b/>
      <w:bCs/>
      <w:noProof/>
      <w:sz w:val="28"/>
      <w:szCs w:val="28"/>
    </w:rPr>
  </w:style>
  <w:style w:type="paragraph" w:styleId="5">
    <w:name w:val="heading 5"/>
    <w:basedOn w:val="a1"/>
    <w:next w:val="a1"/>
    <w:link w:val="50"/>
    <w:semiHidden/>
    <w:unhideWhenUsed/>
    <w:qFormat/>
    <w:rsid w:val="00D120E6"/>
    <w:pPr>
      <w:spacing w:before="240" w:after="60"/>
      <w:outlineLvl w:val="4"/>
    </w:pPr>
    <w:rPr>
      <w:b/>
      <w:bCs/>
      <w:i/>
      <w:iCs/>
      <w:sz w:val="26"/>
      <w:szCs w:val="26"/>
    </w:rPr>
  </w:style>
  <w:style w:type="paragraph" w:styleId="6">
    <w:name w:val="heading 6"/>
    <w:basedOn w:val="a1"/>
    <w:next w:val="a1"/>
    <w:link w:val="60"/>
    <w:semiHidden/>
    <w:unhideWhenUsed/>
    <w:qFormat/>
    <w:rsid w:val="00D120E6"/>
    <w:pPr>
      <w:suppressAutoHyphens/>
      <w:spacing w:before="240" w:after="60"/>
      <w:outlineLvl w:val="5"/>
    </w:pPr>
    <w:rPr>
      <w:b/>
      <w:bCs/>
      <w:noProof/>
      <w:sz w:val="22"/>
      <w:szCs w:val="22"/>
    </w:rPr>
  </w:style>
  <w:style w:type="paragraph" w:styleId="7">
    <w:name w:val="heading 7"/>
    <w:basedOn w:val="a1"/>
    <w:next w:val="a1"/>
    <w:link w:val="70"/>
    <w:uiPriority w:val="99"/>
    <w:semiHidden/>
    <w:unhideWhenUsed/>
    <w:qFormat/>
    <w:rsid w:val="00D120E6"/>
    <w:pPr>
      <w:suppressAutoHyphens/>
      <w:spacing w:before="240" w:after="60"/>
      <w:outlineLvl w:val="6"/>
    </w:pPr>
    <w:rPr>
      <w:noProof/>
    </w:rPr>
  </w:style>
  <w:style w:type="paragraph" w:styleId="8">
    <w:name w:val="heading 8"/>
    <w:basedOn w:val="a1"/>
    <w:next w:val="a1"/>
    <w:link w:val="80"/>
    <w:uiPriority w:val="99"/>
    <w:semiHidden/>
    <w:unhideWhenUsed/>
    <w:qFormat/>
    <w:rsid w:val="00D120E6"/>
    <w:pPr>
      <w:suppressAutoHyphens/>
      <w:spacing w:before="240" w:after="60"/>
      <w:outlineLvl w:val="7"/>
    </w:pPr>
    <w:rPr>
      <w:i/>
      <w:iCs/>
      <w:noProof/>
    </w:rPr>
  </w:style>
  <w:style w:type="paragraph" w:styleId="9">
    <w:name w:val="heading 9"/>
    <w:basedOn w:val="a1"/>
    <w:next w:val="a1"/>
    <w:link w:val="90"/>
    <w:uiPriority w:val="99"/>
    <w:semiHidden/>
    <w:unhideWhenUsed/>
    <w:qFormat/>
    <w:rsid w:val="00D120E6"/>
    <w:pPr>
      <w:suppressAutoHyphens/>
      <w:spacing w:before="240" w:after="60"/>
      <w:outlineLvl w:val="8"/>
    </w:pPr>
    <w:rPr>
      <w:rFonts w:ascii="Arial" w:hAnsi="Arial" w:cs="Arial"/>
      <w:noProof/>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120E6"/>
    <w:rPr>
      <w:rFonts w:ascii="Arial" w:eastAsia="Times New Roman" w:hAnsi="Arial" w:cs="Arial"/>
      <w:b/>
      <w:bCs/>
      <w:kern w:val="32"/>
      <w:sz w:val="32"/>
      <w:szCs w:val="32"/>
      <w:lang w:val="uk-UA" w:eastAsia="ru-RU"/>
    </w:rPr>
  </w:style>
  <w:style w:type="character" w:customStyle="1" w:styleId="20">
    <w:name w:val="Заголовок 2 Знак"/>
    <w:basedOn w:val="a2"/>
    <w:semiHidden/>
    <w:rsid w:val="00D120E6"/>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2"/>
    <w:link w:val="3"/>
    <w:semiHidden/>
    <w:rsid w:val="00D120E6"/>
    <w:rPr>
      <w:rFonts w:ascii="Times New Roman" w:eastAsia="Times New Roman" w:hAnsi="Times New Roman" w:cs="Times New Roman"/>
      <w:b/>
      <w:bCs/>
      <w:sz w:val="27"/>
      <w:szCs w:val="27"/>
      <w:lang w:val="uk-UA" w:eastAsia="ru-RU"/>
    </w:rPr>
  </w:style>
  <w:style w:type="character" w:customStyle="1" w:styleId="40">
    <w:name w:val="Заголовок 4 Знак"/>
    <w:basedOn w:val="a2"/>
    <w:link w:val="4"/>
    <w:semiHidden/>
    <w:rsid w:val="00D120E6"/>
    <w:rPr>
      <w:rFonts w:ascii="Times New Roman" w:eastAsia="Times New Roman" w:hAnsi="Times New Roman" w:cs="Times New Roman"/>
      <w:b/>
      <w:bCs/>
      <w:noProof/>
      <w:sz w:val="28"/>
      <w:szCs w:val="28"/>
      <w:lang w:val="uk-UA" w:eastAsia="ru-RU"/>
    </w:rPr>
  </w:style>
  <w:style w:type="character" w:customStyle="1" w:styleId="50">
    <w:name w:val="Заголовок 5 Знак"/>
    <w:basedOn w:val="a2"/>
    <w:link w:val="5"/>
    <w:semiHidden/>
    <w:rsid w:val="00D120E6"/>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2"/>
    <w:link w:val="6"/>
    <w:semiHidden/>
    <w:rsid w:val="00D120E6"/>
    <w:rPr>
      <w:rFonts w:ascii="Times New Roman" w:eastAsia="Times New Roman" w:hAnsi="Times New Roman" w:cs="Times New Roman"/>
      <w:b/>
      <w:bCs/>
      <w:noProof/>
      <w:lang w:val="uk-UA" w:eastAsia="ru-RU"/>
    </w:rPr>
  </w:style>
  <w:style w:type="character" w:customStyle="1" w:styleId="70">
    <w:name w:val="Заголовок 7 Знак"/>
    <w:basedOn w:val="a2"/>
    <w:link w:val="7"/>
    <w:uiPriority w:val="99"/>
    <w:semiHidden/>
    <w:rsid w:val="00D120E6"/>
    <w:rPr>
      <w:rFonts w:ascii="Times New Roman" w:eastAsia="Times New Roman" w:hAnsi="Times New Roman" w:cs="Times New Roman"/>
      <w:noProof/>
      <w:sz w:val="24"/>
      <w:szCs w:val="24"/>
      <w:lang w:val="uk-UA" w:eastAsia="ru-RU"/>
    </w:rPr>
  </w:style>
  <w:style w:type="character" w:customStyle="1" w:styleId="80">
    <w:name w:val="Заголовок 8 Знак"/>
    <w:basedOn w:val="a2"/>
    <w:link w:val="8"/>
    <w:uiPriority w:val="99"/>
    <w:semiHidden/>
    <w:rsid w:val="00D120E6"/>
    <w:rPr>
      <w:rFonts w:ascii="Times New Roman" w:eastAsia="Times New Roman" w:hAnsi="Times New Roman" w:cs="Times New Roman"/>
      <w:i/>
      <w:iCs/>
      <w:noProof/>
      <w:sz w:val="24"/>
      <w:szCs w:val="24"/>
      <w:lang w:val="uk-UA" w:eastAsia="ru-RU"/>
    </w:rPr>
  </w:style>
  <w:style w:type="character" w:customStyle="1" w:styleId="90">
    <w:name w:val="Заголовок 9 Знак"/>
    <w:basedOn w:val="a2"/>
    <w:link w:val="9"/>
    <w:uiPriority w:val="99"/>
    <w:semiHidden/>
    <w:rsid w:val="00D120E6"/>
    <w:rPr>
      <w:rFonts w:ascii="Arial" w:eastAsia="Times New Roman" w:hAnsi="Arial" w:cs="Arial"/>
      <w:noProof/>
      <w:lang w:val="uk-UA" w:eastAsia="ru-RU"/>
    </w:rPr>
  </w:style>
  <w:style w:type="character" w:styleId="a5">
    <w:name w:val="Hyperlink"/>
    <w:uiPriority w:val="99"/>
    <w:semiHidden/>
    <w:unhideWhenUsed/>
    <w:rsid w:val="00D120E6"/>
    <w:rPr>
      <w:color w:val="0000FF"/>
      <w:u w:val="single"/>
    </w:rPr>
  </w:style>
  <w:style w:type="character" w:styleId="a6">
    <w:name w:val="FollowedHyperlink"/>
    <w:semiHidden/>
    <w:unhideWhenUsed/>
    <w:rsid w:val="00D120E6"/>
    <w:rPr>
      <w:color w:val="800080"/>
      <w:u w:val="single"/>
    </w:rPr>
  </w:style>
  <w:style w:type="paragraph" w:styleId="HTML">
    <w:name w:val="HTML Preformatted"/>
    <w:basedOn w:val="a1"/>
    <w:link w:val="HTML1"/>
    <w:uiPriority w:val="99"/>
    <w:semiHidden/>
    <w:unhideWhenUsed/>
    <w:rsid w:val="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2"/>
    <w:uiPriority w:val="99"/>
    <w:semiHidden/>
    <w:rsid w:val="00D120E6"/>
    <w:rPr>
      <w:rFonts w:ascii="Consolas" w:eastAsia="Times New Roman" w:hAnsi="Consolas" w:cs="Consolas"/>
      <w:sz w:val="20"/>
      <w:szCs w:val="20"/>
      <w:lang w:val="uk-UA" w:eastAsia="ru-RU"/>
    </w:rPr>
  </w:style>
  <w:style w:type="character" w:styleId="a7">
    <w:name w:val="Strong"/>
    <w:uiPriority w:val="22"/>
    <w:qFormat/>
    <w:rsid w:val="00D120E6"/>
    <w:rPr>
      <w:rFonts w:ascii="Times New Roman" w:hAnsi="Times New Roman" w:cs="Times New Roman" w:hint="default"/>
      <w:b/>
      <w:bCs/>
      <w:sz w:val="24"/>
    </w:rPr>
  </w:style>
  <w:style w:type="character" w:customStyle="1" w:styleId="a8">
    <w:name w:val="Обычный (веб) Знак"/>
    <w:link w:val="a9"/>
    <w:uiPriority w:val="99"/>
    <w:semiHidden/>
    <w:locked/>
    <w:rsid w:val="00D120E6"/>
    <w:rPr>
      <w:rFonts w:ascii="Times New Roman" w:eastAsia="Times New Roman" w:hAnsi="Times New Roman" w:cs="Times New Roman"/>
      <w:sz w:val="24"/>
      <w:szCs w:val="24"/>
      <w:lang w:val="uk-UA"/>
    </w:rPr>
  </w:style>
  <w:style w:type="paragraph" w:styleId="a9">
    <w:name w:val="Normal (Web)"/>
    <w:basedOn w:val="a1"/>
    <w:link w:val="a8"/>
    <w:uiPriority w:val="99"/>
    <w:semiHidden/>
    <w:unhideWhenUsed/>
    <w:rsid w:val="00D120E6"/>
    <w:pPr>
      <w:spacing w:before="100" w:beforeAutospacing="1" w:after="100" w:afterAutospacing="1"/>
    </w:pPr>
    <w:rPr>
      <w:lang w:eastAsia="en-US"/>
    </w:rPr>
  </w:style>
  <w:style w:type="paragraph" w:styleId="11">
    <w:name w:val="toc 1"/>
    <w:basedOn w:val="a1"/>
    <w:next w:val="a1"/>
    <w:autoRedefine/>
    <w:uiPriority w:val="39"/>
    <w:semiHidden/>
    <w:unhideWhenUsed/>
    <w:qFormat/>
    <w:rsid w:val="00D120E6"/>
    <w:pPr>
      <w:tabs>
        <w:tab w:val="right" w:leader="dot" w:pos="10065"/>
      </w:tabs>
      <w:spacing w:line="280" w:lineRule="exact"/>
    </w:pPr>
    <w:rPr>
      <w:sz w:val="22"/>
      <w:szCs w:val="20"/>
    </w:rPr>
  </w:style>
  <w:style w:type="paragraph" w:styleId="22">
    <w:name w:val="toc 2"/>
    <w:basedOn w:val="a1"/>
    <w:next w:val="a1"/>
    <w:autoRedefine/>
    <w:uiPriority w:val="39"/>
    <w:semiHidden/>
    <w:unhideWhenUsed/>
    <w:qFormat/>
    <w:rsid w:val="00D120E6"/>
    <w:pPr>
      <w:tabs>
        <w:tab w:val="left" w:pos="800"/>
        <w:tab w:val="right" w:leader="dot" w:pos="10065"/>
      </w:tabs>
      <w:spacing w:line="280" w:lineRule="exact"/>
      <w:ind w:right="-53"/>
    </w:pPr>
    <w:rPr>
      <w:sz w:val="22"/>
      <w:szCs w:val="20"/>
    </w:rPr>
  </w:style>
  <w:style w:type="paragraph" w:styleId="31">
    <w:name w:val="toc 3"/>
    <w:basedOn w:val="a1"/>
    <w:next w:val="a1"/>
    <w:autoRedefine/>
    <w:uiPriority w:val="39"/>
    <w:semiHidden/>
    <w:unhideWhenUsed/>
    <w:qFormat/>
    <w:rsid w:val="00D120E6"/>
    <w:pPr>
      <w:tabs>
        <w:tab w:val="left" w:pos="1000"/>
        <w:tab w:val="right" w:leader="dot" w:pos="10065"/>
      </w:tabs>
      <w:spacing w:before="40" w:line="280" w:lineRule="exact"/>
      <w:ind w:left="284"/>
    </w:pPr>
    <w:rPr>
      <w:noProof/>
      <w:sz w:val="22"/>
      <w:szCs w:val="20"/>
    </w:rPr>
  </w:style>
  <w:style w:type="paragraph" w:styleId="41">
    <w:name w:val="toc 4"/>
    <w:basedOn w:val="a1"/>
    <w:next w:val="a1"/>
    <w:autoRedefine/>
    <w:uiPriority w:val="39"/>
    <w:semiHidden/>
    <w:unhideWhenUsed/>
    <w:rsid w:val="00D120E6"/>
    <w:pPr>
      <w:ind w:left="600" w:firstLine="567"/>
    </w:pPr>
    <w:rPr>
      <w:sz w:val="18"/>
      <w:szCs w:val="18"/>
    </w:rPr>
  </w:style>
  <w:style w:type="paragraph" w:styleId="51">
    <w:name w:val="toc 5"/>
    <w:basedOn w:val="a1"/>
    <w:next w:val="a1"/>
    <w:autoRedefine/>
    <w:uiPriority w:val="99"/>
    <w:semiHidden/>
    <w:unhideWhenUsed/>
    <w:rsid w:val="00D120E6"/>
    <w:pPr>
      <w:ind w:left="800" w:firstLine="567"/>
    </w:pPr>
    <w:rPr>
      <w:sz w:val="18"/>
      <w:szCs w:val="18"/>
    </w:rPr>
  </w:style>
  <w:style w:type="paragraph" w:styleId="61">
    <w:name w:val="toc 6"/>
    <w:basedOn w:val="a1"/>
    <w:next w:val="a1"/>
    <w:autoRedefine/>
    <w:uiPriority w:val="99"/>
    <w:semiHidden/>
    <w:unhideWhenUsed/>
    <w:rsid w:val="00D120E6"/>
    <w:pPr>
      <w:ind w:left="1000" w:firstLine="567"/>
    </w:pPr>
    <w:rPr>
      <w:sz w:val="18"/>
      <w:szCs w:val="18"/>
    </w:rPr>
  </w:style>
  <w:style w:type="paragraph" w:styleId="71">
    <w:name w:val="toc 7"/>
    <w:basedOn w:val="a1"/>
    <w:next w:val="a1"/>
    <w:autoRedefine/>
    <w:uiPriority w:val="99"/>
    <w:semiHidden/>
    <w:unhideWhenUsed/>
    <w:rsid w:val="00D120E6"/>
    <w:pPr>
      <w:ind w:left="1200" w:firstLine="567"/>
    </w:pPr>
    <w:rPr>
      <w:sz w:val="18"/>
      <w:szCs w:val="18"/>
    </w:rPr>
  </w:style>
  <w:style w:type="paragraph" w:styleId="81">
    <w:name w:val="toc 8"/>
    <w:basedOn w:val="a1"/>
    <w:next w:val="a1"/>
    <w:autoRedefine/>
    <w:uiPriority w:val="99"/>
    <w:semiHidden/>
    <w:unhideWhenUsed/>
    <w:rsid w:val="00D120E6"/>
    <w:pPr>
      <w:ind w:left="1400" w:firstLine="567"/>
    </w:pPr>
    <w:rPr>
      <w:sz w:val="18"/>
      <w:szCs w:val="18"/>
    </w:rPr>
  </w:style>
  <w:style w:type="paragraph" w:styleId="91">
    <w:name w:val="toc 9"/>
    <w:basedOn w:val="a1"/>
    <w:next w:val="a1"/>
    <w:autoRedefine/>
    <w:uiPriority w:val="99"/>
    <w:semiHidden/>
    <w:unhideWhenUsed/>
    <w:rsid w:val="00D120E6"/>
    <w:pPr>
      <w:ind w:left="1600" w:firstLine="567"/>
    </w:pPr>
    <w:rPr>
      <w:sz w:val="18"/>
      <w:szCs w:val="18"/>
    </w:rPr>
  </w:style>
  <w:style w:type="paragraph" w:styleId="aa">
    <w:name w:val="footnote text"/>
    <w:basedOn w:val="a1"/>
    <w:link w:val="ab"/>
    <w:uiPriority w:val="99"/>
    <w:semiHidden/>
    <w:unhideWhenUsed/>
    <w:rsid w:val="00D120E6"/>
    <w:pPr>
      <w:tabs>
        <w:tab w:val="left" w:pos="1134"/>
      </w:tabs>
      <w:spacing w:before="40"/>
      <w:ind w:firstLine="567"/>
    </w:pPr>
    <w:rPr>
      <w:sz w:val="22"/>
      <w:szCs w:val="22"/>
    </w:rPr>
  </w:style>
  <w:style w:type="character" w:customStyle="1" w:styleId="ab">
    <w:name w:val="Текст сноски Знак"/>
    <w:basedOn w:val="a2"/>
    <w:link w:val="aa"/>
    <w:uiPriority w:val="99"/>
    <w:semiHidden/>
    <w:rsid w:val="00D120E6"/>
    <w:rPr>
      <w:rFonts w:ascii="Times New Roman" w:eastAsia="Times New Roman" w:hAnsi="Times New Roman" w:cs="Times New Roman"/>
      <w:lang w:val="uk-UA" w:eastAsia="ru-RU"/>
    </w:rPr>
  </w:style>
  <w:style w:type="paragraph" w:styleId="ac">
    <w:name w:val="annotation text"/>
    <w:basedOn w:val="a1"/>
    <w:link w:val="ad"/>
    <w:uiPriority w:val="99"/>
    <w:semiHidden/>
    <w:unhideWhenUsed/>
    <w:rsid w:val="00D120E6"/>
    <w:pPr>
      <w:tabs>
        <w:tab w:val="left" w:pos="1134"/>
      </w:tabs>
      <w:spacing w:before="40"/>
      <w:ind w:firstLine="567"/>
    </w:pPr>
    <w:rPr>
      <w:sz w:val="22"/>
      <w:szCs w:val="22"/>
    </w:rPr>
  </w:style>
  <w:style w:type="character" w:customStyle="1" w:styleId="ad">
    <w:name w:val="Текст примечания Знак"/>
    <w:basedOn w:val="a2"/>
    <w:link w:val="ac"/>
    <w:uiPriority w:val="99"/>
    <w:semiHidden/>
    <w:rsid w:val="00D120E6"/>
    <w:rPr>
      <w:rFonts w:ascii="Times New Roman" w:eastAsia="Times New Roman" w:hAnsi="Times New Roman" w:cs="Times New Roman"/>
      <w:lang w:val="uk-UA" w:eastAsia="ru-RU"/>
    </w:rPr>
  </w:style>
  <w:style w:type="paragraph" w:styleId="ae">
    <w:name w:val="header"/>
    <w:basedOn w:val="a1"/>
    <w:link w:val="af"/>
    <w:uiPriority w:val="99"/>
    <w:semiHidden/>
    <w:unhideWhenUsed/>
    <w:rsid w:val="00D120E6"/>
    <w:pPr>
      <w:tabs>
        <w:tab w:val="center" w:pos="4153"/>
        <w:tab w:val="right" w:pos="8306"/>
      </w:tabs>
    </w:pPr>
    <w:rPr>
      <w:sz w:val="20"/>
      <w:szCs w:val="20"/>
    </w:rPr>
  </w:style>
  <w:style w:type="character" w:customStyle="1" w:styleId="af">
    <w:name w:val="Верхний колонтитул Знак"/>
    <w:basedOn w:val="a2"/>
    <w:link w:val="ae"/>
    <w:uiPriority w:val="99"/>
    <w:semiHidden/>
    <w:rsid w:val="00D120E6"/>
    <w:rPr>
      <w:rFonts w:ascii="Times New Roman" w:eastAsia="Times New Roman" w:hAnsi="Times New Roman" w:cs="Times New Roman"/>
      <w:sz w:val="20"/>
      <w:szCs w:val="20"/>
      <w:lang w:val="uk-UA" w:eastAsia="ru-RU"/>
    </w:rPr>
  </w:style>
  <w:style w:type="paragraph" w:styleId="af0">
    <w:name w:val="footer"/>
    <w:basedOn w:val="a1"/>
    <w:link w:val="af1"/>
    <w:uiPriority w:val="99"/>
    <w:semiHidden/>
    <w:unhideWhenUsed/>
    <w:rsid w:val="00D120E6"/>
    <w:pPr>
      <w:tabs>
        <w:tab w:val="center" w:pos="4677"/>
        <w:tab w:val="right" w:pos="9355"/>
      </w:tabs>
    </w:pPr>
  </w:style>
  <w:style w:type="character" w:customStyle="1" w:styleId="af1">
    <w:name w:val="Нижний колонтитул Знак"/>
    <w:basedOn w:val="a2"/>
    <w:link w:val="af0"/>
    <w:uiPriority w:val="99"/>
    <w:semiHidden/>
    <w:rsid w:val="00D120E6"/>
    <w:rPr>
      <w:rFonts w:ascii="Times New Roman" w:eastAsia="Times New Roman" w:hAnsi="Times New Roman" w:cs="Times New Roman"/>
      <w:sz w:val="24"/>
      <w:szCs w:val="24"/>
      <w:lang w:val="uk-UA" w:eastAsia="ru-RU"/>
    </w:rPr>
  </w:style>
  <w:style w:type="paragraph" w:styleId="af2">
    <w:name w:val="caption"/>
    <w:basedOn w:val="a1"/>
    <w:next w:val="a1"/>
    <w:uiPriority w:val="99"/>
    <w:semiHidden/>
    <w:unhideWhenUsed/>
    <w:qFormat/>
    <w:rsid w:val="00D120E6"/>
    <w:rPr>
      <w:b/>
      <w:bCs/>
      <w:sz w:val="20"/>
      <w:szCs w:val="20"/>
    </w:rPr>
  </w:style>
  <w:style w:type="paragraph" w:styleId="af3">
    <w:name w:val="endnote text"/>
    <w:basedOn w:val="a1"/>
    <w:link w:val="af4"/>
    <w:uiPriority w:val="99"/>
    <w:semiHidden/>
    <w:unhideWhenUsed/>
    <w:rsid w:val="00D120E6"/>
    <w:pPr>
      <w:spacing w:before="40" w:line="280" w:lineRule="exact"/>
    </w:pPr>
    <w:rPr>
      <w:sz w:val="22"/>
      <w:szCs w:val="20"/>
    </w:rPr>
  </w:style>
  <w:style w:type="character" w:customStyle="1" w:styleId="af4">
    <w:name w:val="Текст концевой сноски Знак"/>
    <w:basedOn w:val="a2"/>
    <w:link w:val="af3"/>
    <w:uiPriority w:val="99"/>
    <w:semiHidden/>
    <w:rsid w:val="00D120E6"/>
    <w:rPr>
      <w:rFonts w:ascii="Times New Roman" w:eastAsia="Times New Roman" w:hAnsi="Times New Roman" w:cs="Times New Roman"/>
      <w:szCs w:val="20"/>
      <w:lang w:val="uk-UA" w:eastAsia="ru-RU"/>
    </w:rPr>
  </w:style>
  <w:style w:type="paragraph" w:styleId="af5">
    <w:name w:val="List"/>
    <w:basedOn w:val="a1"/>
    <w:uiPriority w:val="99"/>
    <w:semiHidden/>
    <w:unhideWhenUsed/>
    <w:rsid w:val="00D120E6"/>
    <w:pPr>
      <w:suppressAutoHyphens/>
      <w:ind w:left="283" w:hanging="283"/>
    </w:pPr>
    <w:rPr>
      <w:noProof/>
      <w:sz w:val="20"/>
      <w:szCs w:val="20"/>
    </w:rPr>
  </w:style>
  <w:style w:type="paragraph" w:styleId="af6">
    <w:name w:val="List Bullet"/>
    <w:basedOn w:val="a1"/>
    <w:uiPriority w:val="99"/>
    <w:semiHidden/>
    <w:unhideWhenUsed/>
    <w:rsid w:val="00D120E6"/>
    <w:pPr>
      <w:tabs>
        <w:tab w:val="num" w:pos="720"/>
        <w:tab w:val="num" w:pos="1068"/>
        <w:tab w:val="num" w:pos="1353"/>
      </w:tabs>
      <w:ind w:left="1353" w:hanging="360"/>
    </w:pPr>
    <w:rPr>
      <w:sz w:val="28"/>
    </w:rPr>
  </w:style>
  <w:style w:type="paragraph" w:styleId="23">
    <w:name w:val="List 2"/>
    <w:basedOn w:val="a1"/>
    <w:uiPriority w:val="99"/>
    <w:semiHidden/>
    <w:unhideWhenUsed/>
    <w:rsid w:val="00D120E6"/>
    <w:pPr>
      <w:snapToGrid w:val="0"/>
      <w:ind w:left="566" w:hanging="283"/>
    </w:pPr>
    <w:rPr>
      <w:sz w:val="20"/>
      <w:szCs w:val="20"/>
      <w:lang w:val="ru-RU"/>
    </w:rPr>
  </w:style>
  <w:style w:type="paragraph" w:styleId="af7">
    <w:name w:val="Title"/>
    <w:basedOn w:val="a1"/>
    <w:link w:val="af8"/>
    <w:uiPriority w:val="99"/>
    <w:qFormat/>
    <w:rsid w:val="00D120E6"/>
    <w:pPr>
      <w:ind w:left="-567" w:right="-766"/>
      <w:jc w:val="center"/>
    </w:pPr>
    <w:rPr>
      <w:rFonts w:ascii="Futuris" w:hAnsi="Futuris"/>
      <w:szCs w:val="20"/>
    </w:rPr>
  </w:style>
  <w:style w:type="character" w:customStyle="1" w:styleId="af8">
    <w:name w:val="Название Знак"/>
    <w:basedOn w:val="a2"/>
    <w:link w:val="af7"/>
    <w:uiPriority w:val="99"/>
    <w:rsid w:val="00D120E6"/>
    <w:rPr>
      <w:rFonts w:ascii="Futuris" w:eastAsia="Times New Roman" w:hAnsi="Futuris" w:cs="Times New Roman"/>
      <w:sz w:val="24"/>
      <w:szCs w:val="20"/>
      <w:lang w:val="uk-UA" w:eastAsia="ru-RU"/>
    </w:rPr>
  </w:style>
  <w:style w:type="paragraph" w:styleId="af9">
    <w:name w:val="Body Text"/>
    <w:basedOn w:val="a1"/>
    <w:link w:val="afa"/>
    <w:uiPriority w:val="99"/>
    <w:semiHidden/>
    <w:unhideWhenUsed/>
    <w:rsid w:val="00D120E6"/>
    <w:pPr>
      <w:widowControl w:val="0"/>
    </w:pPr>
    <w:rPr>
      <w:sz w:val="20"/>
      <w:szCs w:val="20"/>
    </w:rPr>
  </w:style>
  <w:style w:type="character" w:customStyle="1" w:styleId="afa">
    <w:name w:val="Основной текст Знак"/>
    <w:basedOn w:val="a2"/>
    <w:link w:val="af9"/>
    <w:uiPriority w:val="99"/>
    <w:semiHidden/>
    <w:rsid w:val="00D120E6"/>
    <w:rPr>
      <w:rFonts w:ascii="Times New Roman" w:eastAsia="Times New Roman" w:hAnsi="Times New Roman" w:cs="Times New Roman"/>
      <w:sz w:val="20"/>
      <w:szCs w:val="20"/>
      <w:lang w:val="uk-UA" w:eastAsia="ru-RU"/>
    </w:rPr>
  </w:style>
  <w:style w:type="paragraph" w:styleId="afb">
    <w:name w:val="Body Text Indent"/>
    <w:basedOn w:val="a1"/>
    <w:link w:val="afc"/>
    <w:uiPriority w:val="99"/>
    <w:semiHidden/>
    <w:unhideWhenUsed/>
    <w:rsid w:val="00D120E6"/>
    <w:pPr>
      <w:spacing w:after="120"/>
      <w:ind w:left="283"/>
    </w:pPr>
  </w:style>
  <w:style w:type="character" w:customStyle="1" w:styleId="afc">
    <w:name w:val="Основной текст с отступом Знак"/>
    <w:basedOn w:val="a2"/>
    <w:link w:val="afb"/>
    <w:uiPriority w:val="99"/>
    <w:semiHidden/>
    <w:rsid w:val="00D120E6"/>
    <w:rPr>
      <w:rFonts w:ascii="Times New Roman" w:eastAsia="Times New Roman" w:hAnsi="Times New Roman" w:cs="Times New Roman"/>
      <w:sz w:val="24"/>
      <w:szCs w:val="24"/>
      <w:lang w:val="uk-UA" w:eastAsia="ru-RU"/>
    </w:rPr>
  </w:style>
  <w:style w:type="paragraph" w:styleId="a0">
    <w:name w:val="Subtitle"/>
    <w:basedOn w:val="a1"/>
    <w:next w:val="a1"/>
    <w:link w:val="afd"/>
    <w:autoRedefine/>
    <w:uiPriority w:val="11"/>
    <w:qFormat/>
    <w:rsid w:val="00D120E6"/>
    <w:pPr>
      <w:numPr>
        <w:numId w:val="1"/>
      </w:numPr>
      <w:ind w:left="284"/>
    </w:pPr>
    <w:rPr>
      <w:rFonts w:ascii="Cambria" w:hAnsi="Cambria"/>
      <w:i/>
      <w:iCs/>
      <w:color w:val="4F81BD"/>
    </w:rPr>
  </w:style>
  <w:style w:type="character" w:customStyle="1" w:styleId="afd">
    <w:name w:val="Подзаголовок Знак"/>
    <w:basedOn w:val="a2"/>
    <w:link w:val="a0"/>
    <w:uiPriority w:val="11"/>
    <w:rsid w:val="00D120E6"/>
    <w:rPr>
      <w:rFonts w:ascii="Cambria" w:eastAsia="Times New Roman" w:hAnsi="Cambria" w:cs="Times New Roman"/>
      <w:i/>
      <w:iCs/>
      <w:color w:val="4F81BD"/>
      <w:sz w:val="24"/>
      <w:szCs w:val="24"/>
      <w:lang w:val="uk-UA" w:eastAsia="ru-RU"/>
    </w:rPr>
  </w:style>
  <w:style w:type="paragraph" w:styleId="24">
    <w:name w:val="Body Text 2"/>
    <w:basedOn w:val="a1"/>
    <w:link w:val="25"/>
    <w:uiPriority w:val="99"/>
    <w:semiHidden/>
    <w:unhideWhenUsed/>
    <w:rsid w:val="00D120E6"/>
    <w:pPr>
      <w:spacing w:after="120" w:line="480" w:lineRule="auto"/>
    </w:pPr>
  </w:style>
  <w:style w:type="character" w:customStyle="1" w:styleId="25">
    <w:name w:val="Основной текст 2 Знак"/>
    <w:basedOn w:val="a2"/>
    <w:link w:val="24"/>
    <w:uiPriority w:val="99"/>
    <w:semiHidden/>
    <w:rsid w:val="00D120E6"/>
    <w:rPr>
      <w:rFonts w:ascii="Times New Roman" w:eastAsia="Times New Roman" w:hAnsi="Times New Roman" w:cs="Times New Roman"/>
      <w:sz w:val="24"/>
      <w:szCs w:val="24"/>
      <w:lang w:val="uk-UA" w:eastAsia="ru-RU"/>
    </w:rPr>
  </w:style>
  <w:style w:type="paragraph" w:styleId="32">
    <w:name w:val="Body Text 3"/>
    <w:basedOn w:val="a1"/>
    <w:link w:val="33"/>
    <w:uiPriority w:val="99"/>
    <w:semiHidden/>
    <w:unhideWhenUsed/>
    <w:rsid w:val="00D120E6"/>
    <w:pPr>
      <w:suppressAutoHyphens/>
      <w:spacing w:after="120"/>
    </w:pPr>
    <w:rPr>
      <w:noProof/>
      <w:sz w:val="16"/>
      <w:szCs w:val="16"/>
    </w:rPr>
  </w:style>
  <w:style w:type="character" w:customStyle="1" w:styleId="33">
    <w:name w:val="Основной текст 3 Знак"/>
    <w:basedOn w:val="a2"/>
    <w:link w:val="32"/>
    <w:uiPriority w:val="99"/>
    <w:semiHidden/>
    <w:rsid w:val="00D120E6"/>
    <w:rPr>
      <w:rFonts w:ascii="Times New Roman" w:eastAsia="Times New Roman" w:hAnsi="Times New Roman" w:cs="Times New Roman"/>
      <w:noProof/>
      <w:sz w:val="16"/>
      <w:szCs w:val="16"/>
      <w:lang w:val="uk-UA" w:eastAsia="ru-RU"/>
    </w:rPr>
  </w:style>
  <w:style w:type="paragraph" w:styleId="26">
    <w:name w:val="Body Text Indent 2"/>
    <w:basedOn w:val="a1"/>
    <w:link w:val="27"/>
    <w:uiPriority w:val="99"/>
    <w:semiHidden/>
    <w:unhideWhenUsed/>
    <w:rsid w:val="00D120E6"/>
    <w:pPr>
      <w:suppressAutoHyphens/>
      <w:spacing w:after="120" w:line="480" w:lineRule="auto"/>
      <w:ind w:left="283"/>
    </w:pPr>
    <w:rPr>
      <w:noProof/>
      <w:sz w:val="20"/>
      <w:szCs w:val="20"/>
    </w:rPr>
  </w:style>
  <w:style w:type="character" w:customStyle="1" w:styleId="27">
    <w:name w:val="Основной текст с отступом 2 Знак"/>
    <w:basedOn w:val="a2"/>
    <w:link w:val="26"/>
    <w:uiPriority w:val="99"/>
    <w:semiHidden/>
    <w:rsid w:val="00D120E6"/>
    <w:rPr>
      <w:rFonts w:ascii="Times New Roman" w:eastAsia="Times New Roman" w:hAnsi="Times New Roman" w:cs="Times New Roman"/>
      <w:noProof/>
      <w:sz w:val="20"/>
      <w:szCs w:val="20"/>
      <w:lang w:val="uk-UA" w:eastAsia="ru-RU"/>
    </w:rPr>
  </w:style>
  <w:style w:type="paragraph" w:styleId="34">
    <w:name w:val="Body Text Indent 3"/>
    <w:basedOn w:val="a1"/>
    <w:link w:val="35"/>
    <w:uiPriority w:val="99"/>
    <w:semiHidden/>
    <w:unhideWhenUsed/>
    <w:rsid w:val="00D120E6"/>
    <w:pPr>
      <w:suppressAutoHyphens/>
      <w:spacing w:after="120"/>
      <w:ind w:left="283"/>
    </w:pPr>
    <w:rPr>
      <w:noProof/>
      <w:sz w:val="16"/>
      <w:szCs w:val="16"/>
    </w:rPr>
  </w:style>
  <w:style w:type="character" w:customStyle="1" w:styleId="35">
    <w:name w:val="Основной текст с отступом 3 Знак"/>
    <w:basedOn w:val="a2"/>
    <w:link w:val="34"/>
    <w:uiPriority w:val="99"/>
    <w:semiHidden/>
    <w:rsid w:val="00D120E6"/>
    <w:rPr>
      <w:rFonts w:ascii="Times New Roman" w:eastAsia="Times New Roman" w:hAnsi="Times New Roman" w:cs="Times New Roman"/>
      <w:noProof/>
      <w:sz w:val="16"/>
      <w:szCs w:val="16"/>
      <w:lang w:val="uk-UA" w:eastAsia="ru-RU"/>
    </w:rPr>
  </w:style>
  <w:style w:type="paragraph" w:styleId="afe">
    <w:name w:val="Block Text"/>
    <w:basedOn w:val="a1"/>
    <w:uiPriority w:val="99"/>
    <w:semiHidden/>
    <w:unhideWhenUsed/>
    <w:rsid w:val="00D120E6"/>
    <w:pPr>
      <w:ind w:left="-107" w:right="-25"/>
      <w:jc w:val="center"/>
    </w:pPr>
    <w:rPr>
      <w:rFonts w:ascii="Arial" w:hAnsi="Arial" w:cs="Arial"/>
      <w:b/>
      <w:bCs/>
    </w:rPr>
  </w:style>
  <w:style w:type="paragraph" w:styleId="aff">
    <w:name w:val="Document Map"/>
    <w:basedOn w:val="a1"/>
    <w:link w:val="aff0"/>
    <w:uiPriority w:val="99"/>
    <w:semiHidden/>
    <w:unhideWhenUsed/>
    <w:rsid w:val="00D120E6"/>
    <w:pPr>
      <w:shd w:val="clear" w:color="auto" w:fill="000080"/>
    </w:pPr>
    <w:rPr>
      <w:rFonts w:ascii="Tahoma" w:hAnsi="Tahoma" w:cs="Tahoma"/>
      <w:sz w:val="20"/>
      <w:szCs w:val="20"/>
    </w:rPr>
  </w:style>
  <w:style w:type="character" w:customStyle="1" w:styleId="aff0">
    <w:name w:val="Схема документа Знак"/>
    <w:basedOn w:val="a2"/>
    <w:link w:val="aff"/>
    <w:uiPriority w:val="99"/>
    <w:semiHidden/>
    <w:rsid w:val="00D120E6"/>
    <w:rPr>
      <w:rFonts w:ascii="Tahoma" w:eastAsia="Times New Roman" w:hAnsi="Tahoma" w:cs="Tahoma"/>
      <w:sz w:val="20"/>
      <w:szCs w:val="20"/>
      <w:shd w:val="clear" w:color="auto" w:fill="000080"/>
      <w:lang w:val="uk-UA" w:eastAsia="ru-RU"/>
    </w:rPr>
  </w:style>
  <w:style w:type="paragraph" w:styleId="aff1">
    <w:name w:val="Plain Text"/>
    <w:basedOn w:val="a1"/>
    <w:link w:val="aff2"/>
    <w:uiPriority w:val="99"/>
    <w:semiHidden/>
    <w:unhideWhenUsed/>
    <w:rsid w:val="00D120E6"/>
    <w:rPr>
      <w:rFonts w:ascii="Courier New" w:hAnsi="Courier New"/>
      <w:sz w:val="20"/>
      <w:szCs w:val="20"/>
      <w:lang w:eastAsia="en-US"/>
    </w:rPr>
  </w:style>
  <w:style w:type="character" w:customStyle="1" w:styleId="aff2">
    <w:name w:val="Текст Знак"/>
    <w:basedOn w:val="a2"/>
    <w:link w:val="aff1"/>
    <w:uiPriority w:val="99"/>
    <w:semiHidden/>
    <w:rsid w:val="00D120E6"/>
    <w:rPr>
      <w:rFonts w:ascii="Courier New" w:eastAsia="Times New Roman" w:hAnsi="Courier New" w:cs="Times New Roman"/>
      <w:sz w:val="20"/>
      <w:szCs w:val="20"/>
      <w:lang w:val="uk-UA"/>
    </w:rPr>
  </w:style>
  <w:style w:type="paragraph" w:styleId="aff3">
    <w:name w:val="annotation subject"/>
    <w:basedOn w:val="ac"/>
    <w:next w:val="ac"/>
    <w:link w:val="aff4"/>
    <w:uiPriority w:val="99"/>
    <w:semiHidden/>
    <w:unhideWhenUsed/>
    <w:rsid w:val="00D120E6"/>
    <w:rPr>
      <w:b/>
      <w:bCs/>
    </w:rPr>
  </w:style>
  <w:style w:type="character" w:customStyle="1" w:styleId="aff4">
    <w:name w:val="Тема примечания Знак"/>
    <w:basedOn w:val="ad"/>
    <w:link w:val="aff3"/>
    <w:uiPriority w:val="99"/>
    <w:semiHidden/>
    <w:rsid w:val="00D120E6"/>
    <w:rPr>
      <w:rFonts w:ascii="Times New Roman" w:eastAsia="Times New Roman" w:hAnsi="Times New Roman" w:cs="Times New Roman"/>
      <w:b/>
      <w:bCs/>
      <w:lang w:val="uk-UA" w:eastAsia="ru-RU"/>
    </w:rPr>
  </w:style>
  <w:style w:type="paragraph" w:styleId="aff5">
    <w:name w:val="Balloon Text"/>
    <w:basedOn w:val="a1"/>
    <w:link w:val="aff6"/>
    <w:uiPriority w:val="99"/>
    <w:semiHidden/>
    <w:unhideWhenUsed/>
    <w:rsid w:val="00D120E6"/>
    <w:rPr>
      <w:rFonts w:ascii="Tahoma" w:hAnsi="Tahoma" w:cs="Tahoma"/>
      <w:sz w:val="16"/>
      <w:szCs w:val="16"/>
    </w:rPr>
  </w:style>
  <w:style w:type="character" w:customStyle="1" w:styleId="aff6">
    <w:name w:val="Текст выноски Знак"/>
    <w:basedOn w:val="a2"/>
    <w:link w:val="aff5"/>
    <w:uiPriority w:val="99"/>
    <w:semiHidden/>
    <w:rsid w:val="00D120E6"/>
    <w:rPr>
      <w:rFonts w:ascii="Tahoma" w:eastAsia="Times New Roman" w:hAnsi="Tahoma" w:cs="Tahoma"/>
      <w:sz w:val="16"/>
      <w:szCs w:val="16"/>
      <w:lang w:val="uk-UA" w:eastAsia="ru-RU"/>
    </w:rPr>
  </w:style>
  <w:style w:type="paragraph" w:styleId="a">
    <w:name w:val="List Paragraph"/>
    <w:basedOn w:val="a1"/>
    <w:autoRedefine/>
    <w:uiPriority w:val="99"/>
    <w:qFormat/>
    <w:rsid w:val="003365F7"/>
    <w:pPr>
      <w:numPr>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76" w:lineRule="auto"/>
      <w:contextualSpacing/>
    </w:pPr>
    <w:rPr>
      <w:rFonts w:eastAsia="Calibri"/>
      <w:lang w:eastAsia="en-US"/>
    </w:rPr>
  </w:style>
  <w:style w:type="paragraph" w:styleId="aff7">
    <w:name w:val="TOC Heading"/>
    <w:basedOn w:val="1"/>
    <w:next w:val="a1"/>
    <w:uiPriority w:val="39"/>
    <w:semiHidden/>
    <w:unhideWhenUsed/>
    <w:qFormat/>
    <w:rsid w:val="00D120E6"/>
    <w:pPr>
      <w:keepLines/>
      <w:spacing w:before="480" w:after="0" w:line="276" w:lineRule="auto"/>
      <w:outlineLvl w:val="9"/>
    </w:pPr>
    <w:rPr>
      <w:rFonts w:ascii="Cambria" w:hAnsi="Cambria" w:cs="Times New Roman"/>
      <w:color w:val="365F91"/>
      <w:kern w:val="0"/>
      <w:sz w:val="28"/>
      <w:szCs w:val="28"/>
      <w:lang w:val="ru-RU" w:eastAsia="en-US"/>
    </w:rPr>
  </w:style>
  <w:style w:type="paragraph" w:customStyle="1" w:styleId="Futuris6">
    <w:name w:val="Стиль Futuris по ширине После:  6 пт Междустр.интервал:  множите..."/>
    <w:basedOn w:val="a1"/>
    <w:next w:val="af5"/>
    <w:uiPriority w:val="99"/>
    <w:rsid w:val="00D120E6"/>
    <w:pPr>
      <w:tabs>
        <w:tab w:val="num" w:pos="720"/>
        <w:tab w:val="num" w:pos="1080"/>
      </w:tabs>
      <w:spacing w:after="80" w:line="312" w:lineRule="auto"/>
      <w:ind w:left="720" w:hanging="360"/>
      <w:contextualSpacing/>
    </w:pPr>
    <w:rPr>
      <w:rFonts w:ascii="Futuris" w:hAnsi="Futuris"/>
      <w:spacing w:val="6"/>
      <w:szCs w:val="20"/>
    </w:rPr>
  </w:style>
  <w:style w:type="paragraph" w:customStyle="1" w:styleId="WW-2">
    <w:name w:val="WW-Основной текст с отступом 2"/>
    <w:basedOn w:val="a1"/>
    <w:uiPriority w:val="99"/>
    <w:rsid w:val="00D120E6"/>
    <w:pPr>
      <w:suppressAutoHyphens/>
      <w:ind w:firstLine="567"/>
    </w:pPr>
    <w:rPr>
      <w:color w:val="000000"/>
      <w:szCs w:val="20"/>
    </w:rPr>
  </w:style>
  <w:style w:type="paragraph" w:customStyle="1" w:styleId="FR2">
    <w:name w:val="FR2"/>
    <w:uiPriority w:val="99"/>
    <w:rsid w:val="00D120E6"/>
    <w:pPr>
      <w:widowControl w:val="0"/>
      <w:suppressAutoHyphens/>
      <w:spacing w:after="0" w:line="300" w:lineRule="auto"/>
      <w:ind w:firstLine="1500"/>
      <w:jc w:val="both"/>
    </w:pPr>
    <w:rPr>
      <w:rFonts w:ascii="Times New Roman" w:eastAsia="Times New Roman" w:hAnsi="Times New Roman" w:cs="Times New Roman"/>
      <w:noProof/>
      <w:sz w:val="24"/>
      <w:szCs w:val="20"/>
      <w:lang w:val="uk-UA" w:eastAsia="ru-RU"/>
    </w:rPr>
  </w:style>
  <w:style w:type="paragraph" w:customStyle="1" w:styleId="aff8">
    <w:name w:val="Îáû÷íûé.Îáû÷í"/>
    <w:uiPriority w:val="99"/>
    <w:rsid w:val="00D120E6"/>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Знак"/>
    <w:basedOn w:val="a1"/>
    <w:uiPriority w:val="99"/>
    <w:rsid w:val="00D120E6"/>
    <w:rPr>
      <w:rFonts w:ascii="Verdana" w:hAnsi="Verdana" w:cs="Verdana"/>
      <w:lang w:val="en-US" w:eastAsia="en-US"/>
    </w:rPr>
  </w:style>
  <w:style w:type="paragraph" w:customStyle="1" w:styleId="12">
    <w:name w:val="çàãîëîâîê 1"/>
    <w:basedOn w:val="a1"/>
    <w:next w:val="a1"/>
    <w:uiPriority w:val="99"/>
    <w:rsid w:val="00D120E6"/>
    <w:pPr>
      <w:keepNext/>
      <w:spacing w:before="240" w:after="60" w:line="280" w:lineRule="exact"/>
    </w:pPr>
    <w:rPr>
      <w:b/>
      <w:kern w:val="28"/>
      <w:szCs w:val="20"/>
    </w:rPr>
  </w:style>
  <w:style w:type="paragraph" w:customStyle="1" w:styleId="28">
    <w:name w:val="çàãîëîâîê 2"/>
    <w:basedOn w:val="a1"/>
    <w:next w:val="a1"/>
    <w:uiPriority w:val="99"/>
    <w:rsid w:val="00D120E6"/>
    <w:pPr>
      <w:keepNext/>
      <w:spacing w:before="240" w:after="60" w:line="280" w:lineRule="exact"/>
    </w:pPr>
    <w:rPr>
      <w:b/>
      <w:i/>
      <w:szCs w:val="20"/>
    </w:rPr>
  </w:style>
  <w:style w:type="paragraph" w:customStyle="1" w:styleId="36">
    <w:name w:val="çàãîëîâîê 3"/>
    <w:basedOn w:val="a1"/>
    <w:next w:val="a1"/>
    <w:uiPriority w:val="99"/>
    <w:rsid w:val="00D120E6"/>
    <w:pPr>
      <w:keepNext/>
      <w:spacing w:before="20" w:line="280" w:lineRule="exact"/>
      <w:jc w:val="center"/>
    </w:pPr>
    <w:rPr>
      <w:szCs w:val="20"/>
    </w:rPr>
  </w:style>
  <w:style w:type="paragraph" w:customStyle="1" w:styleId="42">
    <w:name w:val="çàãîëîâîê 4"/>
    <w:basedOn w:val="a1"/>
    <w:next w:val="a1"/>
    <w:uiPriority w:val="99"/>
    <w:rsid w:val="00D120E6"/>
    <w:pPr>
      <w:keepNext/>
      <w:spacing w:before="40" w:line="280" w:lineRule="exact"/>
    </w:pPr>
    <w:rPr>
      <w:szCs w:val="20"/>
    </w:rPr>
  </w:style>
  <w:style w:type="paragraph" w:customStyle="1" w:styleId="52">
    <w:name w:val="çàãîëîâîê 5"/>
    <w:basedOn w:val="a1"/>
    <w:next w:val="a1"/>
    <w:uiPriority w:val="99"/>
    <w:rsid w:val="00D120E6"/>
    <w:pPr>
      <w:keepNext/>
      <w:spacing w:before="40" w:line="280" w:lineRule="exact"/>
      <w:jc w:val="center"/>
    </w:pPr>
    <w:rPr>
      <w:szCs w:val="20"/>
    </w:rPr>
  </w:style>
  <w:style w:type="paragraph" w:customStyle="1" w:styleId="62">
    <w:name w:val="çàãîëîâîê 6"/>
    <w:basedOn w:val="a1"/>
    <w:next w:val="a1"/>
    <w:uiPriority w:val="99"/>
    <w:rsid w:val="00D120E6"/>
    <w:pPr>
      <w:spacing w:before="240" w:after="60" w:line="280" w:lineRule="exact"/>
    </w:pPr>
    <w:rPr>
      <w:i/>
      <w:sz w:val="22"/>
      <w:szCs w:val="20"/>
    </w:rPr>
  </w:style>
  <w:style w:type="paragraph" w:customStyle="1" w:styleId="72">
    <w:name w:val="çàãîëîâîê 7"/>
    <w:basedOn w:val="a1"/>
    <w:next w:val="a1"/>
    <w:uiPriority w:val="99"/>
    <w:rsid w:val="00D120E6"/>
    <w:pPr>
      <w:spacing w:before="240" w:after="60" w:line="280" w:lineRule="exact"/>
    </w:pPr>
    <w:rPr>
      <w:rFonts w:ascii="Arial" w:hAnsi="Arial"/>
      <w:sz w:val="22"/>
      <w:szCs w:val="20"/>
    </w:rPr>
  </w:style>
  <w:style w:type="paragraph" w:customStyle="1" w:styleId="82">
    <w:name w:val="çàãîëîâîê 8"/>
    <w:basedOn w:val="a1"/>
    <w:next w:val="a1"/>
    <w:uiPriority w:val="99"/>
    <w:rsid w:val="00D120E6"/>
    <w:pPr>
      <w:spacing w:before="240" w:after="60" w:line="280" w:lineRule="exact"/>
    </w:pPr>
    <w:rPr>
      <w:rFonts w:ascii="Arial" w:hAnsi="Arial"/>
      <w:i/>
      <w:sz w:val="22"/>
      <w:szCs w:val="20"/>
    </w:rPr>
  </w:style>
  <w:style w:type="paragraph" w:customStyle="1" w:styleId="92">
    <w:name w:val="çàãîëîâîê 9"/>
    <w:basedOn w:val="a1"/>
    <w:next w:val="a1"/>
    <w:uiPriority w:val="99"/>
    <w:rsid w:val="00D120E6"/>
    <w:pPr>
      <w:spacing w:before="240" w:after="60" w:line="280" w:lineRule="exact"/>
    </w:pPr>
    <w:rPr>
      <w:rFonts w:ascii="Arial" w:hAnsi="Arial"/>
      <w:b/>
      <w:i/>
      <w:sz w:val="18"/>
      <w:szCs w:val="20"/>
    </w:rPr>
  </w:style>
  <w:style w:type="paragraph" w:customStyle="1" w:styleId="affa">
    <w:name w:val="òåêñò ïðèìå÷àíèÿ"/>
    <w:basedOn w:val="a1"/>
    <w:uiPriority w:val="99"/>
    <w:rsid w:val="00D120E6"/>
    <w:pPr>
      <w:spacing w:before="40" w:line="280" w:lineRule="exact"/>
    </w:pPr>
    <w:rPr>
      <w:sz w:val="22"/>
      <w:szCs w:val="20"/>
    </w:rPr>
  </w:style>
  <w:style w:type="paragraph" w:customStyle="1" w:styleId="affb">
    <w:name w:val="àäðåñ"/>
    <w:basedOn w:val="a1"/>
    <w:uiPriority w:val="99"/>
    <w:rsid w:val="00D120E6"/>
    <w:pPr>
      <w:framePr w:w="7920" w:h="1980" w:hSpace="180" w:wrap="auto" w:hAnchor="page" w:xAlign="center" w:yAlign="bottom"/>
      <w:spacing w:before="40" w:line="280" w:lineRule="exact"/>
      <w:ind w:left="2880"/>
    </w:pPr>
    <w:rPr>
      <w:szCs w:val="20"/>
    </w:rPr>
  </w:style>
  <w:style w:type="paragraph" w:customStyle="1" w:styleId="13">
    <w:name w:val="îãëàâëåíèå 1"/>
    <w:basedOn w:val="a1"/>
    <w:next w:val="a1"/>
    <w:uiPriority w:val="99"/>
    <w:rsid w:val="00D120E6"/>
    <w:pPr>
      <w:tabs>
        <w:tab w:val="right" w:leader="dot" w:pos="9921"/>
      </w:tabs>
      <w:spacing w:before="120" w:after="120" w:line="280" w:lineRule="exact"/>
    </w:pPr>
    <w:rPr>
      <w:caps/>
      <w:sz w:val="22"/>
      <w:szCs w:val="20"/>
    </w:rPr>
  </w:style>
  <w:style w:type="paragraph" w:customStyle="1" w:styleId="29">
    <w:name w:val="îãëàâëåíèå 2"/>
    <w:basedOn w:val="a1"/>
    <w:next w:val="a1"/>
    <w:uiPriority w:val="99"/>
    <w:rsid w:val="00D120E6"/>
    <w:pPr>
      <w:tabs>
        <w:tab w:val="right" w:leader="dot" w:pos="9921"/>
      </w:tabs>
      <w:spacing w:before="40" w:line="280" w:lineRule="exact"/>
      <w:ind w:left="200"/>
    </w:pPr>
    <w:rPr>
      <w:sz w:val="22"/>
      <w:szCs w:val="20"/>
    </w:rPr>
  </w:style>
  <w:style w:type="paragraph" w:customStyle="1" w:styleId="37">
    <w:name w:val="îãëàâëåíèå 3"/>
    <w:basedOn w:val="a1"/>
    <w:next w:val="a1"/>
    <w:uiPriority w:val="99"/>
    <w:rsid w:val="00D120E6"/>
    <w:pPr>
      <w:tabs>
        <w:tab w:val="right" w:leader="dot" w:pos="9921"/>
      </w:tabs>
      <w:spacing w:before="40" w:line="280" w:lineRule="exact"/>
      <w:ind w:left="400"/>
    </w:pPr>
    <w:rPr>
      <w:i/>
      <w:sz w:val="22"/>
      <w:szCs w:val="20"/>
    </w:rPr>
  </w:style>
  <w:style w:type="paragraph" w:customStyle="1" w:styleId="43">
    <w:name w:val="îãëàâëåíèå 4"/>
    <w:basedOn w:val="a1"/>
    <w:next w:val="a1"/>
    <w:uiPriority w:val="99"/>
    <w:rsid w:val="00D120E6"/>
    <w:pPr>
      <w:tabs>
        <w:tab w:val="right" w:leader="dot" w:pos="9921"/>
      </w:tabs>
      <w:spacing w:before="40" w:line="280" w:lineRule="exact"/>
      <w:ind w:left="600"/>
    </w:pPr>
    <w:rPr>
      <w:sz w:val="18"/>
      <w:szCs w:val="20"/>
    </w:rPr>
  </w:style>
  <w:style w:type="paragraph" w:customStyle="1" w:styleId="53">
    <w:name w:val="îãëàâëåíèå 5"/>
    <w:basedOn w:val="a1"/>
    <w:next w:val="a1"/>
    <w:uiPriority w:val="99"/>
    <w:rsid w:val="00D120E6"/>
    <w:pPr>
      <w:tabs>
        <w:tab w:val="right" w:leader="dot" w:pos="9921"/>
      </w:tabs>
      <w:spacing w:before="40" w:line="280" w:lineRule="exact"/>
      <w:ind w:left="800"/>
    </w:pPr>
    <w:rPr>
      <w:sz w:val="18"/>
      <w:szCs w:val="20"/>
    </w:rPr>
  </w:style>
  <w:style w:type="paragraph" w:customStyle="1" w:styleId="63">
    <w:name w:val="îãëàâëåíèå 6"/>
    <w:basedOn w:val="a1"/>
    <w:next w:val="a1"/>
    <w:uiPriority w:val="99"/>
    <w:rsid w:val="00D120E6"/>
    <w:pPr>
      <w:tabs>
        <w:tab w:val="right" w:leader="dot" w:pos="9921"/>
      </w:tabs>
      <w:spacing w:before="40" w:line="280" w:lineRule="exact"/>
      <w:ind w:left="1000"/>
    </w:pPr>
    <w:rPr>
      <w:sz w:val="18"/>
      <w:szCs w:val="20"/>
    </w:rPr>
  </w:style>
  <w:style w:type="paragraph" w:customStyle="1" w:styleId="73">
    <w:name w:val="îãëàâëåíèå 7"/>
    <w:basedOn w:val="a1"/>
    <w:next w:val="a1"/>
    <w:uiPriority w:val="99"/>
    <w:rsid w:val="00D120E6"/>
    <w:pPr>
      <w:tabs>
        <w:tab w:val="right" w:leader="dot" w:pos="9921"/>
      </w:tabs>
      <w:spacing w:before="40" w:line="280" w:lineRule="exact"/>
      <w:ind w:left="1200"/>
    </w:pPr>
    <w:rPr>
      <w:sz w:val="18"/>
      <w:szCs w:val="20"/>
    </w:rPr>
  </w:style>
  <w:style w:type="paragraph" w:customStyle="1" w:styleId="83">
    <w:name w:val="îãëàâëåíèå 8"/>
    <w:basedOn w:val="a1"/>
    <w:next w:val="a1"/>
    <w:uiPriority w:val="99"/>
    <w:rsid w:val="00D120E6"/>
    <w:pPr>
      <w:tabs>
        <w:tab w:val="right" w:leader="dot" w:pos="9921"/>
      </w:tabs>
      <w:spacing w:before="40" w:line="280" w:lineRule="exact"/>
      <w:ind w:left="1400"/>
    </w:pPr>
    <w:rPr>
      <w:sz w:val="18"/>
      <w:szCs w:val="20"/>
    </w:rPr>
  </w:style>
  <w:style w:type="paragraph" w:customStyle="1" w:styleId="93">
    <w:name w:val="îãëàâëåíèå 9"/>
    <w:basedOn w:val="a1"/>
    <w:next w:val="a1"/>
    <w:uiPriority w:val="99"/>
    <w:rsid w:val="00D120E6"/>
    <w:pPr>
      <w:tabs>
        <w:tab w:val="right" w:leader="dot" w:pos="9921"/>
      </w:tabs>
      <w:spacing w:before="40" w:line="280" w:lineRule="exact"/>
      <w:ind w:left="1600"/>
    </w:pPr>
    <w:rPr>
      <w:sz w:val="18"/>
      <w:szCs w:val="20"/>
    </w:rPr>
  </w:style>
  <w:style w:type="paragraph" w:customStyle="1" w:styleId="affc">
    <w:name w:val="òåêñò ñíîñêè"/>
    <w:basedOn w:val="a1"/>
    <w:uiPriority w:val="99"/>
    <w:rsid w:val="00D120E6"/>
    <w:pPr>
      <w:spacing w:before="40" w:line="280" w:lineRule="exact"/>
    </w:pPr>
    <w:rPr>
      <w:rFonts w:ascii="Garamond" w:hAnsi="Garamond"/>
      <w:sz w:val="18"/>
      <w:szCs w:val="20"/>
    </w:rPr>
  </w:style>
  <w:style w:type="paragraph" w:customStyle="1" w:styleId="14">
    <w:name w:val="Текст1"/>
    <w:basedOn w:val="a1"/>
    <w:uiPriority w:val="99"/>
    <w:rsid w:val="00D120E6"/>
    <w:pPr>
      <w:spacing w:before="40" w:line="280" w:lineRule="exact"/>
    </w:pPr>
    <w:rPr>
      <w:rFonts w:ascii="Courier New" w:hAnsi="Courier New"/>
      <w:sz w:val="20"/>
      <w:szCs w:val="20"/>
    </w:rPr>
  </w:style>
  <w:style w:type="paragraph" w:customStyle="1" w:styleId="affd">
    <w:name w:val="Таблица"/>
    <w:basedOn w:val="a1"/>
    <w:uiPriority w:val="99"/>
    <w:rsid w:val="00D120E6"/>
    <w:pPr>
      <w:numPr>
        <w:ilvl w:val="12"/>
      </w:numPr>
      <w:spacing w:before="20" w:after="20"/>
    </w:pPr>
    <w:rPr>
      <w:rFonts w:ascii="Times New Roman CYR" w:hAnsi="Times New Roman CYR"/>
      <w:sz w:val="20"/>
      <w:szCs w:val="20"/>
    </w:rPr>
  </w:style>
  <w:style w:type="paragraph" w:customStyle="1" w:styleId="xl24">
    <w:name w:val="xl24"/>
    <w:basedOn w:val="a1"/>
    <w:uiPriority w:val="99"/>
    <w:rsid w:val="00D120E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1"/>
    <w:uiPriority w:val="99"/>
    <w:rsid w:val="00D120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15">
    <w:name w:val="Основной текст1"/>
    <w:basedOn w:val="a1"/>
    <w:uiPriority w:val="99"/>
    <w:rsid w:val="00D120E6"/>
    <w:rPr>
      <w:sz w:val="28"/>
      <w:szCs w:val="20"/>
    </w:rPr>
  </w:style>
  <w:style w:type="paragraph" w:customStyle="1" w:styleId="16">
    <w:name w:val="Обычный1"/>
    <w:uiPriority w:val="99"/>
    <w:rsid w:val="00D120E6"/>
    <w:pPr>
      <w:spacing w:after="0" w:line="240" w:lineRule="auto"/>
    </w:pPr>
    <w:rPr>
      <w:rFonts w:ascii="Times New Roman" w:eastAsia="Times New Roman" w:hAnsi="Times New Roman" w:cs="Times New Roman"/>
      <w:sz w:val="20"/>
      <w:szCs w:val="20"/>
      <w:lang w:eastAsia="ru-RU"/>
    </w:rPr>
  </w:style>
  <w:style w:type="paragraph" w:customStyle="1" w:styleId="210">
    <w:name w:val="заголовок 21"/>
    <w:basedOn w:val="a1"/>
    <w:next w:val="a1"/>
    <w:uiPriority w:val="99"/>
    <w:rsid w:val="00D120E6"/>
    <w:pPr>
      <w:keepNext/>
      <w:keepLines/>
      <w:widowControl w:val="0"/>
      <w:tabs>
        <w:tab w:val="left" w:pos="2508"/>
      </w:tabs>
      <w:spacing w:before="240" w:after="120"/>
    </w:pPr>
    <w:rPr>
      <w:b/>
      <w:i/>
      <w:szCs w:val="20"/>
    </w:rPr>
  </w:style>
  <w:style w:type="paragraph" w:customStyle="1" w:styleId="17">
    <w:name w:val="Стиль1"/>
    <w:basedOn w:val="1"/>
    <w:next w:val="1"/>
    <w:uiPriority w:val="99"/>
    <w:rsid w:val="00D120E6"/>
    <w:pPr>
      <w:pageBreakBefore/>
      <w:jc w:val="center"/>
    </w:pPr>
    <w:rPr>
      <w:rFonts w:ascii="Times New Roman" w:hAnsi="Times New Roman" w:cs="Times New Roman"/>
      <w:b w:val="0"/>
      <w:kern w:val="28"/>
      <w:sz w:val="28"/>
      <w:szCs w:val="20"/>
    </w:rPr>
  </w:style>
  <w:style w:type="paragraph" w:customStyle="1" w:styleId="2a">
    <w:name w:val="заголовок 2"/>
    <w:basedOn w:val="a1"/>
    <w:next w:val="a1"/>
    <w:uiPriority w:val="99"/>
    <w:rsid w:val="00D120E6"/>
    <w:pPr>
      <w:keepNext/>
      <w:autoSpaceDE w:val="0"/>
      <w:autoSpaceDN w:val="0"/>
      <w:jc w:val="center"/>
      <w:outlineLvl w:val="1"/>
    </w:pPr>
    <w:rPr>
      <w:b/>
      <w:bCs/>
    </w:rPr>
  </w:style>
  <w:style w:type="paragraph" w:customStyle="1" w:styleId="xl44">
    <w:name w:val="xl44"/>
    <w:basedOn w:val="a1"/>
    <w:uiPriority w:val="99"/>
    <w:rsid w:val="00D120E6"/>
    <w:pPr>
      <w:pBdr>
        <w:left w:val="single" w:sz="4" w:space="0" w:color="auto"/>
        <w:bottom w:val="single" w:sz="4" w:space="0" w:color="auto"/>
        <w:right w:val="single" w:sz="4" w:space="0" w:color="auto"/>
      </w:pBdr>
      <w:spacing w:before="100" w:beforeAutospacing="1" w:after="100" w:afterAutospacing="1"/>
    </w:pPr>
  </w:style>
  <w:style w:type="paragraph" w:customStyle="1" w:styleId="18">
    <w:name w:val="Основной текст с отступом1"/>
    <w:basedOn w:val="a1"/>
    <w:uiPriority w:val="99"/>
    <w:rsid w:val="00D120E6"/>
    <w:pPr>
      <w:tabs>
        <w:tab w:val="left" w:pos="1134"/>
      </w:tabs>
      <w:spacing w:before="40"/>
      <w:ind w:firstLine="567"/>
    </w:pPr>
    <w:rPr>
      <w:i/>
      <w:iCs/>
      <w:sz w:val="28"/>
      <w:szCs w:val="28"/>
    </w:rPr>
  </w:style>
  <w:style w:type="paragraph" w:customStyle="1" w:styleId="101524">
    <w:name w:val="Стиль Оглавление 1 + Слева:  0 см Выступ:  1.5 см Перед:  2.4 пт..."/>
    <w:basedOn w:val="11"/>
    <w:uiPriority w:val="99"/>
    <w:rsid w:val="00D120E6"/>
    <w:pPr>
      <w:tabs>
        <w:tab w:val="left" w:pos="851"/>
        <w:tab w:val="right" w:leader="dot" w:pos="9072"/>
      </w:tabs>
      <w:spacing w:before="48" w:line="240" w:lineRule="auto"/>
      <w:ind w:left="851" w:rightChars="1418" w:right="742" w:hanging="851"/>
      <w:jc w:val="left"/>
    </w:pPr>
    <w:rPr>
      <w:b/>
      <w:bCs/>
      <w:caps/>
      <w:szCs w:val="22"/>
    </w:rPr>
  </w:style>
  <w:style w:type="paragraph" w:customStyle="1" w:styleId="affe">
    <w:name w:val="Îáû÷íûé"/>
    <w:uiPriority w:val="99"/>
    <w:rsid w:val="00D120E6"/>
    <w:pPr>
      <w:spacing w:after="0" w:line="240" w:lineRule="auto"/>
    </w:pPr>
    <w:rPr>
      <w:rFonts w:ascii="Arial" w:eastAsia="Times New Roman" w:hAnsi="Arial" w:cs="Times New Roman"/>
      <w:sz w:val="24"/>
      <w:szCs w:val="20"/>
      <w:lang w:val="uk-UA" w:eastAsia="ru-RU"/>
    </w:rPr>
  </w:style>
  <w:style w:type="paragraph" w:customStyle="1" w:styleId="2b">
    <w:name w:val="Обычный2"/>
    <w:basedOn w:val="a1"/>
    <w:uiPriority w:val="99"/>
    <w:rsid w:val="00D120E6"/>
    <w:pPr>
      <w:spacing w:before="100" w:beforeAutospacing="1" w:after="100" w:afterAutospacing="1"/>
    </w:pPr>
  </w:style>
  <w:style w:type="paragraph" w:customStyle="1" w:styleId="afff">
    <w:name w:val="ДинТекстОбыч"/>
    <w:basedOn w:val="a1"/>
    <w:uiPriority w:val="99"/>
    <w:rsid w:val="00D120E6"/>
    <w:pPr>
      <w:widowControl w:val="0"/>
      <w:ind w:firstLine="567"/>
    </w:pPr>
    <w:rPr>
      <w:color w:val="000000"/>
      <w:sz w:val="22"/>
      <w:szCs w:val="20"/>
    </w:rPr>
  </w:style>
  <w:style w:type="paragraph" w:customStyle="1" w:styleId="WW-3">
    <w:name w:val="WW-Основной текст 3"/>
    <w:basedOn w:val="a1"/>
    <w:uiPriority w:val="99"/>
    <w:rsid w:val="00D120E6"/>
    <w:pPr>
      <w:suppressAutoHyphens/>
    </w:pPr>
    <w:rPr>
      <w:lang w:eastAsia="ar-SA"/>
    </w:rPr>
  </w:style>
  <w:style w:type="paragraph" w:customStyle="1" w:styleId="preambule0">
    <w:name w:val="preambule0"/>
    <w:basedOn w:val="a1"/>
    <w:uiPriority w:val="99"/>
    <w:rsid w:val="00D120E6"/>
    <w:pPr>
      <w:spacing w:before="120"/>
      <w:ind w:firstLine="720"/>
    </w:pPr>
    <w:rPr>
      <w:rFonts w:ascii="Futuris" w:hAnsi="Futuris"/>
    </w:rPr>
  </w:style>
  <w:style w:type="paragraph" w:customStyle="1" w:styleId="iniiaiieoaeno">
    <w:name w:val="iniiaiieoaeno"/>
    <w:basedOn w:val="a1"/>
    <w:uiPriority w:val="99"/>
    <w:rsid w:val="00D120E6"/>
    <w:pPr>
      <w:autoSpaceDE w:val="0"/>
      <w:autoSpaceDN w:val="0"/>
      <w:spacing w:after="120"/>
    </w:pPr>
  </w:style>
  <w:style w:type="paragraph" w:customStyle="1" w:styleId="iauiue">
    <w:name w:val="iauiue"/>
    <w:basedOn w:val="a1"/>
    <w:uiPriority w:val="99"/>
    <w:rsid w:val="00D120E6"/>
    <w:pPr>
      <w:autoSpaceDE w:val="0"/>
      <w:autoSpaceDN w:val="0"/>
    </w:pPr>
  </w:style>
  <w:style w:type="paragraph" w:customStyle="1" w:styleId="abc-paragrahinnotes">
    <w:name w:val="abc-paragrahinnotes"/>
    <w:basedOn w:val="a1"/>
    <w:uiPriority w:val="99"/>
    <w:rsid w:val="00D120E6"/>
    <w:pPr>
      <w:spacing w:after="240"/>
    </w:pPr>
    <w:rPr>
      <w:rFonts w:ascii="Arial" w:hAnsi="Arial" w:cs="Arial"/>
      <w:sz w:val="18"/>
      <w:szCs w:val="18"/>
    </w:rPr>
  </w:style>
  <w:style w:type="paragraph" w:customStyle="1" w:styleId="100">
    <w:name w:val="10"/>
    <w:basedOn w:val="a1"/>
    <w:uiPriority w:val="99"/>
    <w:rsid w:val="00D120E6"/>
    <w:pPr>
      <w:keepNext/>
      <w:autoSpaceDE w:val="0"/>
      <w:autoSpaceDN w:val="0"/>
      <w:jc w:val="center"/>
    </w:pPr>
    <w:rPr>
      <w:rFonts w:ascii="Arial" w:hAnsi="Arial" w:cs="Arial"/>
    </w:rPr>
  </w:style>
  <w:style w:type="paragraph" w:customStyle="1" w:styleId="2c">
    <w:name w:val="2"/>
    <w:basedOn w:val="a1"/>
    <w:uiPriority w:val="99"/>
    <w:rsid w:val="00D120E6"/>
    <w:pPr>
      <w:keepNext/>
      <w:autoSpaceDE w:val="0"/>
      <w:autoSpaceDN w:val="0"/>
      <w:jc w:val="center"/>
    </w:pPr>
    <w:rPr>
      <w:rFonts w:ascii="Arial" w:hAnsi="Arial" w:cs="Arial"/>
      <w:b/>
      <w:bCs/>
      <w:sz w:val="28"/>
      <w:szCs w:val="28"/>
    </w:rPr>
  </w:style>
  <w:style w:type="paragraph" w:customStyle="1" w:styleId="plaintext">
    <w:name w:val="plaintext"/>
    <w:basedOn w:val="a1"/>
    <w:uiPriority w:val="99"/>
    <w:rsid w:val="00D120E6"/>
    <w:rPr>
      <w:rFonts w:ascii="Courier New" w:hAnsi="Courier New" w:cs="Courier New"/>
      <w:sz w:val="20"/>
      <w:szCs w:val="20"/>
    </w:rPr>
  </w:style>
  <w:style w:type="paragraph" w:customStyle="1" w:styleId="bodytextindent21">
    <w:name w:val="bodytextindent21"/>
    <w:basedOn w:val="a1"/>
    <w:uiPriority w:val="99"/>
    <w:rsid w:val="00D120E6"/>
    <w:pPr>
      <w:numPr>
        <w:ilvl w:val="12"/>
      </w:numPr>
      <w:autoSpaceDE w:val="0"/>
      <w:autoSpaceDN w:val="0"/>
      <w:ind w:firstLine="720"/>
    </w:pPr>
    <w:rPr>
      <w:rFonts w:ascii="Arial" w:hAnsi="Arial" w:cs="Arial"/>
    </w:rPr>
  </w:style>
  <w:style w:type="paragraph" w:customStyle="1" w:styleId="style4">
    <w:name w:val="style4"/>
    <w:basedOn w:val="a1"/>
    <w:uiPriority w:val="99"/>
    <w:rsid w:val="00D120E6"/>
    <w:pPr>
      <w:autoSpaceDE w:val="0"/>
      <w:autoSpaceDN w:val="0"/>
    </w:pPr>
  </w:style>
  <w:style w:type="paragraph" w:customStyle="1" w:styleId="style8">
    <w:name w:val="style8"/>
    <w:basedOn w:val="a1"/>
    <w:uiPriority w:val="99"/>
    <w:rsid w:val="00D120E6"/>
    <w:pPr>
      <w:autoSpaceDE w:val="0"/>
      <w:autoSpaceDN w:val="0"/>
      <w:jc w:val="center"/>
    </w:pPr>
  </w:style>
  <w:style w:type="paragraph" w:customStyle="1" w:styleId="abc-r-paragraphinnotes">
    <w:name w:val="abc-r-paragraphinnotes"/>
    <w:basedOn w:val="a1"/>
    <w:uiPriority w:val="99"/>
    <w:rsid w:val="00D120E6"/>
    <w:pPr>
      <w:spacing w:after="240"/>
    </w:pPr>
    <w:rPr>
      <w:rFonts w:ascii="Arial" w:hAnsi="Arial" w:cs="Arial"/>
      <w:sz w:val="18"/>
      <w:szCs w:val="18"/>
    </w:rPr>
  </w:style>
  <w:style w:type="paragraph" w:customStyle="1" w:styleId="a10">
    <w:name w:val="a1"/>
    <w:basedOn w:val="a1"/>
    <w:uiPriority w:val="99"/>
    <w:rsid w:val="00D120E6"/>
    <w:rPr>
      <w:rFonts w:ascii="Verdana" w:hAnsi="Verdana"/>
      <w:sz w:val="20"/>
      <w:szCs w:val="20"/>
    </w:rPr>
  </w:style>
  <w:style w:type="paragraph" w:customStyle="1" w:styleId="style1">
    <w:name w:val="style1"/>
    <w:basedOn w:val="a1"/>
    <w:uiPriority w:val="99"/>
    <w:rsid w:val="00D120E6"/>
    <w:pPr>
      <w:autoSpaceDE w:val="0"/>
      <w:autoSpaceDN w:val="0"/>
      <w:spacing w:line="326" w:lineRule="atLeast"/>
      <w:ind w:firstLine="576"/>
    </w:pPr>
  </w:style>
  <w:style w:type="paragraph" w:customStyle="1" w:styleId="style40">
    <w:name w:val="style40"/>
    <w:basedOn w:val="a1"/>
    <w:uiPriority w:val="99"/>
    <w:rsid w:val="00D120E6"/>
    <w:pPr>
      <w:autoSpaceDE w:val="0"/>
      <w:autoSpaceDN w:val="0"/>
      <w:spacing w:line="326" w:lineRule="atLeast"/>
      <w:ind w:firstLine="278"/>
    </w:pPr>
  </w:style>
  <w:style w:type="paragraph" w:customStyle="1" w:styleId="110">
    <w:name w:val="11"/>
    <w:basedOn w:val="a1"/>
    <w:uiPriority w:val="99"/>
    <w:rsid w:val="00D120E6"/>
    <w:rPr>
      <w:rFonts w:ascii="Verdana" w:hAnsi="Verdana"/>
      <w:sz w:val="20"/>
      <w:szCs w:val="20"/>
    </w:rPr>
  </w:style>
  <w:style w:type="paragraph" w:customStyle="1" w:styleId="2d">
    <w:name w:val="Основной текст2"/>
    <w:basedOn w:val="a1"/>
    <w:uiPriority w:val="99"/>
    <w:rsid w:val="00D120E6"/>
    <w:pPr>
      <w:widowControl w:val="0"/>
    </w:pPr>
    <w:rPr>
      <w:sz w:val="20"/>
      <w:szCs w:val="20"/>
    </w:rPr>
  </w:style>
  <w:style w:type="paragraph" w:customStyle="1" w:styleId="afff0">
    <w:name w:val="Знак Знак"/>
    <w:basedOn w:val="a1"/>
    <w:uiPriority w:val="99"/>
    <w:rsid w:val="00D120E6"/>
    <w:rPr>
      <w:rFonts w:ascii="Verdana" w:hAnsi="Verdana" w:cs="Verdana"/>
      <w:lang w:val="en-US" w:eastAsia="en-US"/>
    </w:rPr>
  </w:style>
  <w:style w:type="paragraph" w:customStyle="1" w:styleId="Default">
    <w:name w:val="Default"/>
    <w:uiPriority w:val="99"/>
    <w:rsid w:val="00D120E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1">
    <w:name w:val="Body Text1"/>
    <w:basedOn w:val="a1"/>
    <w:uiPriority w:val="99"/>
    <w:rsid w:val="00D120E6"/>
    <w:rPr>
      <w:sz w:val="28"/>
      <w:szCs w:val="20"/>
    </w:rPr>
  </w:style>
  <w:style w:type="paragraph" w:customStyle="1" w:styleId="afff1">
    <w:name w:val="Знак Знак Знак Знак Знак Знак Знак"/>
    <w:basedOn w:val="a1"/>
    <w:uiPriority w:val="99"/>
    <w:rsid w:val="00D120E6"/>
    <w:pPr>
      <w:spacing w:before="60" w:line="240" w:lineRule="exact"/>
    </w:pPr>
    <w:rPr>
      <w:rFonts w:ascii="Verdana" w:hAnsi="Verdana" w:cs="Verdana"/>
      <w:sz w:val="20"/>
      <w:szCs w:val="20"/>
      <w:lang w:val="en-US" w:eastAsia="en-US"/>
    </w:rPr>
  </w:style>
  <w:style w:type="paragraph" w:customStyle="1" w:styleId="afff2">
    <w:name w:val="Основной текст (откр.)"/>
    <w:basedOn w:val="a1"/>
    <w:next w:val="a1"/>
    <w:uiPriority w:val="99"/>
    <w:rsid w:val="00D120E6"/>
    <w:pPr>
      <w:keepNext/>
      <w:spacing w:before="480" w:after="240" w:line="264" w:lineRule="auto"/>
      <w:ind w:left="1134"/>
    </w:pPr>
    <w:rPr>
      <w:color w:val="000000"/>
      <w:sz w:val="22"/>
      <w:lang w:eastAsia="uk-UA"/>
    </w:rPr>
  </w:style>
  <w:style w:type="paragraph" w:customStyle="1" w:styleId="-">
    <w:name w:val="Таблица - текст"/>
    <w:basedOn w:val="a1"/>
    <w:uiPriority w:val="99"/>
    <w:rsid w:val="00D120E6"/>
    <w:rPr>
      <w:rFonts w:ascii="Arial Narrow" w:hAnsi="Arial Narrow"/>
      <w:color w:val="000000"/>
      <w:sz w:val="16"/>
      <w:lang w:eastAsia="uk-UA"/>
    </w:rPr>
  </w:style>
  <w:style w:type="paragraph" w:customStyle="1" w:styleId="-0">
    <w:name w:val="Таблица - цифры"/>
    <w:basedOn w:val="-"/>
    <w:uiPriority w:val="99"/>
    <w:rsid w:val="00D120E6"/>
    <w:pPr>
      <w:keepLines/>
      <w:jc w:val="right"/>
    </w:pPr>
  </w:style>
  <w:style w:type="paragraph" w:customStyle="1" w:styleId="19">
    <w:name w:val="Абзац списка1"/>
    <w:basedOn w:val="a1"/>
    <w:uiPriority w:val="99"/>
    <w:rsid w:val="00D120E6"/>
    <w:pPr>
      <w:spacing w:after="200" w:line="276" w:lineRule="auto"/>
      <w:ind w:left="720"/>
      <w:contextualSpacing/>
    </w:pPr>
    <w:rPr>
      <w:rFonts w:ascii="Calibri" w:hAnsi="Calibri"/>
      <w:sz w:val="22"/>
      <w:szCs w:val="22"/>
      <w:lang w:eastAsia="en-US"/>
    </w:rPr>
  </w:style>
  <w:style w:type="character" w:customStyle="1" w:styleId="1a">
    <w:name w:val="Стиль Заголовок 1 + не все прописные Знак"/>
    <w:link w:val="1b"/>
    <w:locked/>
    <w:rsid w:val="00D120E6"/>
    <w:rPr>
      <w:rFonts w:ascii="Arial" w:hAnsi="Arial" w:cs="Arial"/>
      <w:b/>
      <w:bCs/>
      <w:caps/>
      <w:kern w:val="32"/>
      <w:sz w:val="28"/>
      <w:szCs w:val="32"/>
      <w:lang w:val="en-US"/>
    </w:rPr>
  </w:style>
  <w:style w:type="paragraph" w:customStyle="1" w:styleId="1b">
    <w:name w:val="Стиль Заголовок 1 + не все прописные"/>
    <w:basedOn w:val="1"/>
    <w:link w:val="1a"/>
    <w:rsid w:val="00D120E6"/>
    <w:pPr>
      <w:spacing w:line="280" w:lineRule="exact"/>
    </w:pPr>
    <w:rPr>
      <w:rFonts w:eastAsiaTheme="minorHAnsi"/>
      <w:caps/>
      <w:sz w:val="28"/>
      <w:lang w:val="en-US" w:eastAsia="en-US"/>
    </w:rPr>
  </w:style>
  <w:style w:type="paragraph" w:customStyle="1" w:styleId="xl27">
    <w:name w:val="xl27"/>
    <w:basedOn w:val="a1"/>
    <w:uiPriority w:val="99"/>
    <w:rsid w:val="00D120E6"/>
    <w:pPr>
      <w:pBdr>
        <w:left w:val="single" w:sz="4" w:space="0" w:color="auto"/>
        <w:bottom w:val="single" w:sz="4" w:space="0" w:color="auto"/>
        <w:right w:val="single" w:sz="4" w:space="0" w:color="auto"/>
      </w:pBdr>
      <w:spacing w:before="100" w:beforeAutospacing="1" w:after="100" w:afterAutospacing="1"/>
      <w:jc w:val="center"/>
    </w:pPr>
    <w:rPr>
      <w:rFonts w:eastAsia="Calibri"/>
      <w:lang w:val="ru-RU" w:eastAsia="en-US"/>
    </w:rPr>
  </w:style>
  <w:style w:type="paragraph" w:customStyle="1" w:styleId="1c">
    <w:name w:val="Без интервала1"/>
    <w:uiPriority w:val="99"/>
    <w:rsid w:val="00D120E6"/>
    <w:pPr>
      <w:spacing w:after="0" w:line="240" w:lineRule="auto"/>
    </w:pPr>
    <w:rPr>
      <w:rFonts w:ascii="Times New Roman" w:eastAsia="Calibri" w:hAnsi="Times New Roman" w:cs="Times New Roman"/>
      <w:sz w:val="24"/>
      <w:szCs w:val="24"/>
      <w:lang w:val="en-US"/>
    </w:rPr>
  </w:style>
  <w:style w:type="paragraph" w:customStyle="1" w:styleId="211">
    <w:name w:val="Основной текст21"/>
    <w:basedOn w:val="a1"/>
    <w:uiPriority w:val="99"/>
    <w:rsid w:val="00D120E6"/>
    <w:pPr>
      <w:widowControl w:val="0"/>
    </w:pPr>
    <w:rPr>
      <w:rFonts w:eastAsia="Calibri"/>
      <w:sz w:val="20"/>
      <w:szCs w:val="20"/>
      <w:lang w:val="en-US" w:eastAsia="en-US"/>
    </w:rPr>
  </w:style>
  <w:style w:type="paragraph" w:customStyle="1" w:styleId="38">
    <w:name w:val="Основной текст3"/>
    <w:basedOn w:val="a1"/>
    <w:uiPriority w:val="99"/>
    <w:rsid w:val="00D120E6"/>
    <w:pPr>
      <w:widowControl w:val="0"/>
    </w:pPr>
    <w:rPr>
      <w:rFonts w:eastAsia="Calibri"/>
      <w:sz w:val="20"/>
      <w:szCs w:val="20"/>
    </w:rPr>
  </w:style>
  <w:style w:type="paragraph" w:customStyle="1" w:styleId="44">
    <w:name w:val="Основной текст4"/>
    <w:basedOn w:val="a1"/>
    <w:uiPriority w:val="99"/>
    <w:rsid w:val="00D120E6"/>
    <w:pPr>
      <w:widowControl w:val="0"/>
    </w:pPr>
    <w:rPr>
      <w:rFonts w:eastAsia="Calibri"/>
      <w:sz w:val="20"/>
      <w:szCs w:val="20"/>
    </w:rPr>
  </w:style>
  <w:style w:type="paragraph" w:customStyle="1" w:styleId="2e">
    <w:name w:val="Абзац списка2"/>
    <w:basedOn w:val="a1"/>
    <w:uiPriority w:val="99"/>
    <w:rsid w:val="00D120E6"/>
    <w:pPr>
      <w:spacing w:after="200" w:line="276" w:lineRule="auto"/>
      <w:ind w:left="720"/>
      <w:contextualSpacing/>
    </w:pPr>
    <w:rPr>
      <w:rFonts w:ascii="Calibri" w:eastAsia="Calibri" w:hAnsi="Calibri"/>
      <w:sz w:val="22"/>
      <w:szCs w:val="22"/>
      <w:lang w:eastAsia="en-US"/>
    </w:rPr>
  </w:style>
  <w:style w:type="paragraph" w:customStyle="1" w:styleId="54">
    <w:name w:val="Основной текст5"/>
    <w:basedOn w:val="a1"/>
    <w:uiPriority w:val="99"/>
    <w:rsid w:val="00D120E6"/>
    <w:pPr>
      <w:widowControl w:val="0"/>
    </w:pPr>
    <w:rPr>
      <w:rFonts w:eastAsia="Calibri"/>
      <w:sz w:val="20"/>
      <w:szCs w:val="20"/>
    </w:rPr>
  </w:style>
  <w:style w:type="paragraph" w:customStyle="1" w:styleId="2f">
    <w:name w:val="Стиль2"/>
    <w:basedOn w:val="a1"/>
    <w:uiPriority w:val="99"/>
    <w:rsid w:val="00D120E6"/>
    <w:rPr>
      <w:rFonts w:eastAsia="Calibri"/>
      <w:lang w:val="en-US" w:eastAsia="en-US"/>
    </w:rPr>
  </w:style>
  <w:style w:type="paragraph" w:customStyle="1" w:styleId="310">
    <w:name w:val="Заголовок 31"/>
    <w:basedOn w:val="a1"/>
    <w:uiPriority w:val="99"/>
    <w:rsid w:val="00D120E6"/>
    <w:pPr>
      <w:widowControl w:val="0"/>
      <w:tabs>
        <w:tab w:val="num" w:pos="2160"/>
      </w:tabs>
      <w:suppressAutoHyphens/>
      <w:spacing w:before="100" w:after="100"/>
      <w:ind w:left="2160" w:hanging="360"/>
      <w:jc w:val="left"/>
      <w:outlineLvl w:val="2"/>
    </w:pPr>
    <w:rPr>
      <w:b/>
      <w:bCs/>
      <w:sz w:val="27"/>
      <w:szCs w:val="27"/>
      <w:lang w:val="ru-RU" w:eastAsia="ar-SA"/>
    </w:rPr>
  </w:style>
  <w:style w:type="paragraph" w:customStyle="1" w:styleId="1d">
    <w:name w:val="Обычный (веб)1"/>
    <w:basedOn w:val="a1"/>
    <w:uiPriority w:val="99"/>
    <w:rsid w:val="00D120E6"/>
    <w:pPr>
      <w:widowControl w:val="0"/>
      <w:suppressAutoHyphens/>
      <w:spacing w:before="100" w:after="100"/>
      <w:jc w:val="left"/>
    </w:pPr>
    <w:rPr>
      <w:lang w:val="ru-RU" w:eastAsia="ar-SA"/>
    </w:rPr>
  </w:style>
  <w:style w:type="paragraph" w:customStyle="1" w:styleId="rvps7">
    <w:name w:val="rvps7"/>
    <w:basedOn w:val="a1"/>
    <w:uiPriority w:val="99"/>
    <w:rsid w:val="00D120E6"/>
    <w:pPr>
      <w:spacing w:before="100" w:beforeAutospacing="1" w:after="100" w:afterAutospacing="1"/>
      <w:jc w:val="left"/>
    </w:pPr>
    <w:rPr>
      <w:lang w:val="ru-RU"/>
    </w:rPr>
  </w:style>
  <w:style w:type="paragraph" w:customStyle="1" w:styleId="rvps2">
    <w:name w:val="rvps2"/>
    <w:basedOn w:val="a1"/>
    <w:uiPriority w:val="99"/>
    <w:rsid w:val="00D120E6"/>
    <w:pPr>
      <w:spacing w:before="100" w:beforeAutospacing="1" w:after="100" w:afterAutospacing="1"/>
      <w:jc w:val="left"/>
    </w:pPr>
    <w:rPr>
      <w:lang w:val="ru-RU"/>
    </w:rPr>
  </w:style>
  <w:style w:type="paragraph" w:customStyle="1" w:styleId="nospacing">
    <w:name w:val="nospacing"/>
    <w:basedOn w:val="a1"/>
    <w:uiPriority w:val="99"/>
    <w:rsid w:val="00D120E6"/>
    <w:pPr>
      <w:spacing w:before="100" w:beforeAutospacing="1" w:after="100" w:afterAutospacing="1"/>
      <w:jc w:val="left"/>
    </w:pPr>
    <w:rPr>
      <w:lang w:eastAsia="uk-UA"/>
    </w:rPr>
  </w:style>
  <w:style w:type="paragraph" w:customStyle="1" w:styleId="rvps14">
    <w:name w:val="rvps14"/>
    <w:basedOn w:val="a1"/>
    <w:uiPriority w:val="99"/>
    <w:rsid w:val="00D120E6"/>
    <w:pPr>
      <w:spacing w:before="100" w:beforeAutospacing="1" w:after="100" w:afterAutospacing="1"/>
      <w:jc w:val="left"/>
    </w:pPr>
    <w:rPr>
      <w:lang w:eastAsia="uk-UA"/>
    </w:rPr>
  </w:style>
  <w:style w:type="character" w:styleId="afff3">
    <w:name w:val="footnote reference"/>
    <w:semiHidden/>
    <w:unhideWhenUsed/>
    <w:rsid w:val="00D120E6"/>
    <w:rPr>
      <w:rFonts w:ascii="Times New Roman" w:hAnsi="Times New Roman" w:cs="Times New Roman" w:hint="default"/>
      <w:vertAlign w:val="superscript"/>
    </w:rPr>
  </w:style>
  <w:style w:type="character" w:styleId="afff4">
    <w:name w:val="annotation reference"/>
    <w:semiHidden/>
    <w:unhideWhenUsed/>
    <w:rsid w:val="00D120E6"/>
    <w:rPr>
      <w:rFonts w:ascii="Times New Roman" w:hAnsi="Times New Roman" w:cs="Times New Roman" w:hint="default"/>
      <w:sz w:val="16"/>
    </w:rPr>
  </w:style>
  <w:style w:type="character" w:styleId="afff5">
    <w:name w:val="endnote reference"/>
    <w:semiHidden/>
    <w:unhideWhenUsed/>
    <w:rsid w:val="00D120E6"/>
    <w:rPr>
      <w:rFonts w:ascii="Times New Roman" w:hAnsi="Times New Roman" w:cs="Times New Roman" w:hint="default"/>
      <w:vertAlign w:val="superscript"/>
    </w:rPr>
  </w:style>
  <w:style w:type="character" w:customStyle="1" w:styleId="21">
    <w:name w:val="Заголовок 2 Знак1"/>
    <w:link w:val="2"/>
    <w:semiHidden/>
    <w:locked/>
    <w:rsid w:val="00D120E6"/>
    <w:rPr>
      <w:rFonts w:ascii="Arial" w:eastAsia="Times New Roman" w:hAnsi="Arial" w:cs="Arial"/>
      <w:b/>
      <w:bCs/>
      <w:i/>
      <w:iCs/>
      <w:sz w:val="28"/>
      <w:szCs w:val="28"/>
      <w:lang w:val="uk-UA" w:eastAsia="ru-RU"/>
    </w:rPr>
  </w:style>
  <w:style w:type="character" w:customStyle="1" w:styleId="HTML1">
    <w:name w:val="Стандартный HTML Знак1"/>
    <w:link w:val="HTML"/>
    <w:uiPriority w:val="99"/>
    <w:semiHidden/>
    <w:locked/>
    <w:rsid w:val="00D120E6"/>
    <w:rPr>
      <w:rFonts w:ascii="Courier New" w:eastAsia="Times New Roman" w:hAnsi="Courier New" w:cs="Courier New"/>
      <w:color w:val="000000"/>
      <w:sz w:val="21"/>
      <w:szCs w:val="21"/>
      <w:lang w:val="uk-UA" w:eastAsia="ru-RU"/>
    </w:rPr>
  </w:style>
  <w:style w:type="character" w:customStyle="1" w:styleId="WW-Absatz-Standardschriftart">
    <w:name w:val="WW-Absatz-Standardschriftart"/>
    <w:rsid w:val="00D120E6"/>
  </w:style>
  <w:style w:type="character" w:customStyle="1" w:styleId="WW-Absatz-Standardschriftart1">
    <w:name w:val="WW-Absatz-Standardschriftart1"/>
    <w:rsid w:val="00D120E6"/>
  </w:style>
  <w:style w:type="character" w:customStyle="1" w:styleId="WW-Absatz-Standardschriftart11">
    <w:name w:val="WW-Absatz-Standardschriftart11"/>
    <w:rsid w:val="00D120E6"/>
  </w:style>
  <w:style w:type="character" w:customStyle="1" w:styleId="WW-">
    <w:name w:val="WW-Основной шрифт абзаца"/>
    <w:rsid w:val="00D120E6"/>
  </w:style>
  <w:style w:type="character" w:customStyle="1" w:styleId="afff6">
    <w:name w:val="Знак нумерации"/>
    <w:rsid w:val="00D120E6"/>
  </w:style>
  <w:style w:type="character" w:customStyle="1" w:styleId="WW-0">
    <w:name w:val="WW-Знак нумерации"/>
    <w:rsid w:val="00D120E6"/>
  </w:style>
  <w:style w:type="character" w:customStyle="1" w:styleId="WW-1">
    <w:name w:val="WW-Знак нумерации1"/>
    <w:rsid w:val="00D120E6"/>
  </w:style>
  <w:style w:type="character" w:customStyle="1" w:styleId="WW-11">
    <w:name w:val="WW-Знак нумерации11"/>
    <w:rsid w:val="00D120E6"/>
  </w:style>
  <w:style w:type="paragraph" w:styleId="z-">
    <w:name w:val="HTML Top of Form"/>
    <w:basedOn w:val="a1"/>
    <w:next w:val="a1"/>
    <w:link w:val="z-0"/>
    <w:hidden/>
    <w:semiHidden/>
    <w:unhideWhenUsed/>
    <w:rsid w:val="00D120E6"/>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semiHidden/>
    <w:rsid w:val="00D120E6"/>
    <w:rPr>
      <w:rFonts w:ascii="Arial" w:eastAsia="Times New Roman" w:hAnsi="Arial" w:cs="Arial"/>
      <w:vanish/>
      <w:sz w:val="16"/>
      <w:szCs w:val="16"/>
      <w:lang w:val="uk-UA" w:eastAsia="ru-RU"/>
    </w:rPr>
  </w:style>
  <w:style w:type="character" w:customStyle="1" w:styleId="270">
    <w:name w:val="Знак Знак27"/>
    <w:rsid w:val="00D120E6"/>
    <w:rPr>
      <w:rFonts w:ascii="Arial" w:eastAsia="Times New Roman" w:hAnsi="Arial" w:cs="Times New Roman" w:hint="default"/>
      <w:b/>
      <w:bCs w:val="0"/>
      <w:kern w:val="28"/>
      <w:sz w:val="28"/>
      <w:szCs w:val="20"/>
      <w:lang w:val="uk-UA" w:eastAsia="ru-RU"/>
    </w:rPr>
  </w:style>
  <w:style w:type="character" w:customStyle="1" w:styleId="260">
    <w:name w:val="Знак Знак26"/>
    <w:rsid w:val="00D120E6"/>
    <w:rPr>
      <w:rFonts w:ascii="Times New Roman" w:eastAsia="Times New Roman" w:hAnsi="Times New Roman" w:cs="Times New Roman" w:hint="default"/>
      <w:b/>
      <w:bCs w:val="0"/>
      <w:i/>
      <w:iCs w:val="0"/>
      <w:szCs w:val="20"/>
      <w:lang w:val="uk-UA" w:eastAsia="ru-RU"/>
    </w:rPr>
  </w:style>
  <w:style w:type="character" w:customStyle="1" w:styleId="250">
    <w:name w:val="Знак Знак25"/>
    <w:rsid w:val="00D120E6"/>
    <w:rPr>
      <w:rFonts w:ascii="Arial" w:eastAsia="Times New Roman" w:hAnsi="Arial" w:cs="Times New Roman" w:hint="default"/>
      <w:sz w:val="24"/>
      <w:szCs w:val="20"/>
      <w:lang w:val="uk-UA" w:eastAsia="ru-RU"/>
    </w:rPr>
  </w:style>
  <w:style w:type="character" w:customStyle="1" w:styleId="240">
    <w:name w:val="Знак Знак24"/>
    <w:rsid w:val="00D120E6"/>
    <w:rPr>
      <w:rFonts w:ascii="Times New Roman CYR" w:eastAsia="Times New Roman" w:hAnsi="Times New Roman CYR" w:cs="Times New Roman" w:hint="default"/>
      <w:color w:val="0000FF"/>
      <w:szCs w:val="20"/>
      <w:u w:val="single"/>
      <w:lang w:val="uk-UA" w:eastAsia="ru-RU"/>
    </w:rPr>
  </w:style>
  <w:style w:type="character" w:customStyle="1" w:styleId="230">
    <w:name w:val="Знак Знак23"/>
    <w:rsid w:val="00D120E6"/>
    <w:rPr>
      <w:rFonts w:ascii="Times New Roman" w:eastAsia="Times New Roman" w:hAnsi="Times New Roman" w:cs="Times New Roman" w:hint="default"/>
      <w:b/>
      <w:bCs/>
      <w:i/>
      <w:iCs/>
      <w:szCs w:val="20"/>
      <w:lang w:val="uk-UA" w:eastAsia="ru-RU"/>
    </w:rPr>
  </w:style>
  <w:style w:type="character" w:customStyle="1" w:styleId="afff7">
    <w:name w:val="Îñíîâíîé øðèôò"/>
    <w:rsid w:val="00D120E6"/>
  </w:style>
  <w:style w:type="character" w:customStyle="1" w:styleId="afff8">
    <w:name w:val="çíàê ïðèìå÷àíèÿ"/>
    <w:rsid w:val="00D120E6"/>
    <w:rPr>
      <w:sz w:val="16"/>
    </w:rPr>
  </w:style>
  <w:style w:type="character" w:customStyle="1" w:styleId="afff9">
    <w:name w:val="çíàê ñíîñêè"/>
    <w:rsid w:val="00D120E6"/>
    <w:rPr>
      <w:vertAlign w:val="superscript"/>
    </w:rPr>
  </w:style>
  <w:style w:type="character" w:customStyle="1" w:styleId="afffa">
    <w:name w:val="íîìåð ñòðàíèöû"/>
    <w:basedOn w:val="afff7"/>
    <w:rsid w:val="00D120E6"/>
  </w:style>
  <w:style w:type="character" w:customStyle="1" w:styleId="noiaee">
    <w:name w:val="noiaee"/>
    <w:rsid w:val="00D120E6"/>
    <w:rPr>
      <w:b/>
      <w:bCs/>
      <w:color w:val="000000"/>
    </w:rPr>
  </w:style>
  <w:style w:type="character" w:customStyle="1" w:styleId="abc-paragrahinnoteschar">
    <w:name w:val="abc-paragrahinnoteschar"/>
    <w:rsid w:val="00D120E6"/>
    <w:rPr>
      <w:rFonts w:ascii="Arial" w:hAnsi="Arial" w:cs="Arial" w:hint="default"/>
    </w:rPr>
  </w:style>
  <w:style w:type="character" w:customStyle="1" w:styleId="afffb">
    <w:name w:val="a"/>
    <w:rsid w:val="00D120E6"/>
    <w:rPr>
      <w:b/>
      <w:bCs/>
    </w:rPr>
  </w:style>
  <w:style w:type="character" w:customStyle="1" w:styleId="1e">
    <w:name w:val="1"/>
    <w:rsid w:val="00D120E6"/>
    <w:rPr>
      <w:rFonts w:ascii="Arial" w:hAnsi="Arial" w:cs="Arial" w:hint="default"/>
      <w:b/>
      <w:bCs/>
    </w:rPr>
  </w:style>
  <w:style w:type="character" w:customStyle="1" w:styleId="a00">
    <w:name w:val="a0"/>
    <w:rsid w:val="00D120E6"/>
    <w:rPr>
      <w:rFonts w:ascii="Courier New" w:hAnsi="Courier New" w:cs="Courier New" w:hint="default"/>
    </w:rPr>
  </w:style>
  <w:style w:type="character" w:customStyle="1" w:styleId="fontstyle12">
    <w:name w:val="fontstyle12"/>
    <w:rsid w:val="00D120E6"/>
    <w:rPr>
      <w:rFonts w:ascii="Times New Roman" w:hAnsi="Times New Roman" w:cs="Times New Roman" w:hint="default"/>
      <w:b/>
      <w:bCs/>
    </w:rPr>
  </w:style>
  <w:style w:type="character" w:customStyle="1" w:styleId="fontstyle13">
    <w:name w:val="fontstyle13"/>
    <w:rsid w:val="00D120E6"/>
    <w:rPr>
      <w:rFonts w:ascii="Times New Roman" w:hAnsi="Times New Roman" w:cs="Times New Roman" w:hint="default"/>
    </w:rPr>
  </w:style>
  <w:style w:type="character" w:customStyle="1" w:styleId="fontstyle15">
    <w:name w:val="fontstyle15"/>
    <w:rsid w:val="00D120E6"/>
    <w:rPr>
      <w:rFonts w:ascii="Times New Roman" w:hAnsi="Times New Roman" w:cs="Times New Roman" w:hint="default"/>
    </w:rPr>
  </w:style>
  <w:style w:type="character" w:customStyle="1" w:styleId="fontstyle18">
    <w:name w:val="fontstyle18"/>
    <w:rsid w:val="00D120E6"/>
    <w:rPr>
      <w:rFonts w:ascii="Times New Roman" w:hAnsi="Times New Roman" w:cs="Times New Roman" w:hint="default"/>
      <w:b/>
      <w:bCs/>
      <w:spacing w:val="-10"/>
    </w:rPr>
  </w:style>
  <w:style w:type="character" w:customStyle="1" w:styleId="fontstyle22">
    <w:name w:val="fontstyle22"/>
    <w:rsid w:val="00D120E6"/>
    <w:rPr>
      <w:rFonts w:ascii="Times New Roman" w:hAnsi="Times New Roman" w:cs="Times New Roman" w:hint="default"/>
      <w:b/>
      <w:bCs/>
      <w:smallCaps/>
      <w:spacing w:val="-30"/>
    </w:rPr>
  </w:style>
  <w:style w:type="character" w:customStyle="1" w:styleId="google-src-text1">
    <w:name w:val="google-src-text1"/>
    <w:rsid w:val="00D120E6"/>
    <w:rPr>
      <w:vanish/>
      <w:webHidden w:val="0"/>
      <w:specVanish/>
    </w:rPr>
  </w:style>
  <w:style w:type="character" w:customStyle="1" w:styleId="grame">
    <w:name w:val="grame"/>
    <w:basedOn w:val="a2"/>
    <w:rsid w:val="00D120E6"/>
  </w:style>
  <w:style w:type="character" w:customStyle="1" w:styleId="spelle">
    <w:name w:val="spelle"/>
    <w:basedOn w:val="a2"/>
    <w:rsid w:val="00D120E6"/>
  </w:style>
  <w:style w:type="character" w:customStyle="1" w:styleId="-1">
    <w:name w:val="Таблица - выделение"/>
    <w:rsid w:val="00D120E6"/>
    <w:rPr>
      <w:b/>
      <w:bCs w:val="0"/>
      <w:color w:val="073A78"/>
    </w:rPr>
  </w:style>
  <w:style w:type="character" w:customStyle="1" w:styleId="NormalWebChar">
    <w:name w:val="Normal (Web) Char"/>
    <w:locked/>
    <w:rsid w:val="00D120E6"/>
    <w:rPr>
      <w:rFonts w:ascii="Times New Roman" w:hAnsi="Times New Roman" w:cs="Times New Roman" w:hint="default"/>
      <w:sz w:val="24"/>
      <w:szCs w:val="24"/>
      <w:lang w:val="uk-UA" w:eastAsia="ru-RU" w:bidi="ar-SA"/>
    </w:rPr>
  </w:style>
  <w:style w:type="character" w:customStyle="1" w:styleId="Heading3Char">
    <w:name w:val="Heading 3 Char"/>
    <w:locked/>
    <w:rsid w:val="00D120E6"/>
    <w:rPr>
      <w:b/>
      <w:bCs/>
      <w:sz w:val="27"/>
      <w:szCs w:val="27"/>
      <w:lang w:val="ru-RU" w:eastAsia="ru-RU" w:bidi="ar-SA"/>
    </w:rPr>
  </w:style>
  <w:style w:type="character" w:customStyle="1" w:styleId="Heading1Char">
    <w:name w:val="Heading 1 Char"/>
    <w:locked/>
    <w:rsid w:val="00D120E6"/>
    <w:rPr>
      <w:rFonts w:ascii="Arial" w:hAnsi="Arial" w:cs="Arial" w:hint="default"/>
      <w:b/>
      <w:bCs/>
      <w:kern w:val="32"/>
      <w:sz w:val="32"/>
      <w:szCs w:val="32"/>
      <w:lang w:val="uk-UA" w:eastAsia="ru-RU" w:bidi="ar-SA"/>
    </w:rPr>
  </w:style>
  <w:style w:type="character" w:customStyle="1" w:styleId="130">
    <w:name w:val="Знак Знак13"/>
    <w:rsid w:val="00D120E6"/>
    <w:rPr>
      <w:rFonts w:ascii="Calibri" w:hAnsi="Calibri" w:hint="default"/>
      <w:sz w:val="16"/>
      <w:lang w:val="x-none" w:eastAsia="ru-RU"/>
    </w:rPr>
  </w:style>
  <w:style w:type="character" w:customStyle="1" w:styleId="131">
    <w:name w:val="Знак Знак131"/>
    <w:rsid w:val="00D120E6"/>
    <w:rPr>
      <w:rFonts w:ascii="Calibri" w:hAnsi="Calibri" w:hint="default"/>
      <w:sz w:val="16"/>
      <w:lang w:val="x-none" w:eastAsia="ru-RU"/>
    </w:rPr>
  </w:style>
  <w:style w:type="character" w:customStyle="1" w:styleId="271">
    <w:name w:val="Знак Знак271"/>
    <w:rsid w:val="00D120E6"/>
    <w:rPr>
      <w:rFonts w:ascii="Arial" w:hAnsi="Arial" w:cs="Times New Roman" w:hint="default"/>
      <w:b/>
      <w:bCs w:val="0"/>
      <w:kern w:val="28"/>
      <w:sz w:val="20"/>
      <w:szCs w:val="20"/>
      <w:lang w:val="uk-UA" w:eastAsia="ru-RU"/>
    </w:rPr>
  </w:style>
  <w:style w:type="character" w:customStyle="1" w:styleId="261">
    <w:name w:val="Знак Знак261"/>
    <w:rsid w:val="00D120E6"/>
    <w:rPr>
      <w:rFonts w:ascii="Times New Roman" w:hAnsi="Times New Roman" w:cs="Times New Roman" w:hint="default"/>
      <w:b/>
      <w:bCs w:val="0"/>
      <w:i/>
      <w:iCs w:val="0"/>
      <w:sz w:val="20"/>
      <w:szCs w:val="20"/>
      <w:lang w:val="uk-UA" w:eastAsia="ru-RU"/>
    </w:rPr>
  </w:style>
  <w:style w:type="character" w:customStyle="1" w:styleId="251">
    <w:name w:val="Знак Знак251"/>
    <w:rsid w:val="00D120E6"/>
    <w:rPr>
      <w:rFonts w:ascii="Arial" w:hAnsi="Arial" w:cs="Times New Roman" w:hint="default"/>
      <w:sz w:val="20"/>
      <w:szCs w:val="20"/>
      <w:lang w:val="uk-UA" w:eastAsia="ru-RU"/>
    </w:rPr>
  </w:style>
  <w:style w:type="character" w:customStyle="1" w:styleId="241">
    <w:name w:val="Знак Знак241"/>
    <w:rsid w:val="00D120E6"/>
    <w:rPr>
      <w:rFonts w:ascii="Times New Roman CYR" w:hAnsi="Times New Roman CYR" w:cs="Times New Roman" w:hint="default"/>
      <w:color w:val="0000FF"/>
      <w:sz w:val="20"/>
      <w:szCs w:val="20"/>
      <w:u w:val="single"/>
      <w:lang w:val="uk-UA" w:eastAsia="ru-RU"/>
    </w:rPr>
  </w:style>
  <w:style w:type="character" w:customStyle="1" w:styleId="231">
    <w:name w:val="Знак Знак231"/>
    <w:rsid w:val="00D120E6"/>
    <w:rPr>
      <w:rFonts w:ascii="Times New Roman" w:hAnsi="Times New Roman" w:cs="Times New Roman" w:hint="default"/>
      <w:b/>
      <w:bCs/>
      <w:i/>
      <w:iCs/>
      <w:sz w:val="20"/>
      <w:szCs w:val="20"/>
      <w:lang w:val="uk-UA" w:eastAsia="ru-RU"/>
    </w:rPr>
  </w:style>
  <w:style w:type="character" w:customStyle="1" w:styleId="272">
    <w:name w:val="Знак Знак272"/>
    <w:rsid w:val="00D120E6"/>
    <w:rPr>
      <w:rFonts w:ascii="Arial" w:hAnsi="Arial" w:cs="Times New Roman" w:hint="default"/>
      <w:b/>
      <w:bCs w:val="0"/>
      <w:kern w:val="28"/>
      <w:sz w:val="20"/>
      <w:szCs w:val="20"/>
      <w:lang w:val="uk-UA" w:eastAsia="ru-RU"/>
    </w:rPr>
  </w:style>
  <w:style w:type="character" w:customStyle="1" w:styleId="262">
    <w:name w:val="Знак Знак262"/>
    <w:rsid w:val="00D120E6"/>
    <w:rPr>
      <w:rFonts w:ascii="Times New Roman" w:hAnsi="Times New Roman" w:cs="Times New Roman" w:hint="default"/>
      <w:b/>
      <w:bCs w:val="0"/>
      <w:i/>
      <w:iCs w:val="0"/>
      <w:sz w:val="20"/>
      <w:szCs w:val="20"/>
      <w:lang w:val="uk-UA" w:eastAsia="ru-RU"/>
    </w:rPr>
  </w:style>
  <w:style w:type="character" w:customStyle="1" w:styleId="252">
    <w:name w:val="Знак Знак252"/>
    <w:rsid w:val="00D120E6"/>
    <w:rPr>
      <w:rFonts w:ascii="Arial" w:hAnsi="Arial" w:cs="Times New Roman" w:hint="default"/>
      <w:sz w:val="20"/>
      <w:szCs w:val="20"/>
      <w:lang w:val="uk-UA" w:eastAsia="ru-RU"/>
    </w:rPr>
  </w:style>
  <w:style w:type="character" w:customStyle="1" w:styleId="242">
    <w:name w:val="Знак Знак242"/>
    <w:rsid w:val="00D120E6"/>
    <w:rPr>
      <w:rFonts w:ascii="Times New Roman CYR" w:hAnsi="Times New Roman CYR" w:cs="Times New Roman" w:hint="default"/>
      <w:color w:val="0000FF"/>
      <w:sz w:val="20"/>
      <w:szCs w:val="20"/>
      <w:u w:val="single"/>
      <w:lang w:val="uk-UA" w:eastAsia="ru-RU"/>
    </w:rPr>
  </w:style>
  <w:style w:type="character" w:customStyle="1" w:styleId="232">
    <w:name w:val="Знак Знак232"/>
    <w:rsid w:val="00D120E6"/>
    <w:rPr>
      <w:rFonts w:ascii="Times New Roman" w:hAnsi="Times New Roman" w:cs="Times New Roman" w:hint="default"/>
      <w:b/>
      <w:bCs/>
      <w:i/>
      <w:iCs/>
      <w:sz w:val="20"/>
      <w:szCs w:val="20"/>
      <w:lang w:val="uk-UA" w:eastAsia="ru-RU"/>
    </w:rPr>
  </w:style>
  <w:style w:type="character" w:customStyle="1" w:styleId="133">
    <w:name w:val="Знак Знак133"/>
    <w:locked/>
    <w:rsid w:val="00D120E6"/>
    <w:rPr>
      <w:rFonts w:ascii="Times New Roman" w:hAnsi="Times New Roman" w:cs="Times New Roman" w:hint="default"/>
      <w:sz w:val="24"/>
      <w:szCs w:val="24"/>
      <w:lang w:val="ru-RU" w:eastAsia="ru-RU" w:bidi="ar-SA"/>
    </w:rPr>
  </w:style>
  <w:style w:type="character" w:customStyle="1" w:styleId="132">
    <w:name w:val="Знак Знак132"/>
    <w:locked/>
    <w:rsid w:val="00D120E6"/>
    <w:rPr>
      <w:rFonts w:ascii="Times New Roman" w:hAnsi="Times New Roman" w:cs="Times New Roman" w:hint="default"/>
      <w:sz w:val="24"/>
      <w:szCs w:val="24"/>
      <w:lang w:val="ru-RU" w:eastAsia="ru-RU" w:bidi="ar-SA"/>
    </w:rPr>
  </w:style>
  <w:style w:type="character" w:customStyle="1" w:styleId="273">
    <w:name w:val="Знак Знак273"/>
    <w:rsid w:val="00D120E6"/>
    <w:rPr>
      <w:rFonts w:ascii="Arial" w:hAnsi="Arial" w:cs="Times New Roman" w:hint="default"/>
      <w:b/>
      <w:bCs w:val="0"/>
      <w:kern w:val="28"/>
      <w:sz w:val="20"/>
      <w:szCs w:val="20"/>
      <w:lang w:val="uk-UA" w:eastAsia="ru-RU"/>
    </w:rPr>
  </w:style>
  <w:style w:type="character" w:customStyle="1" w:styleId="263">
    <w:name w:val="Знак Знак263"/>
    <w:rsid w:val="00D120E6"/>
    <w:rPr>
      <w:rFonts w:ascii="Times New Roman" w:hAnsi="Times New Roman" w:cs="Times New Roman" w:hint="default"/>
      <w:b/>
      <w:bCs w:val="0"/>
      <w:i/>
      <w:iCs w:val="0"/>
      <w:sz w:val="20"/>
      <w:szCs w:val="20"/>
      <w:lang w:val="uk-UA" w:eastAsia="ru-RU"/>
    </w:rPr>
  </w:style>
  <w:style w:type="character" w:customStyle="1" w:styleId="253">
    <w:name w:val="Знак Знак253"/>
    <w:rsid w:val="00D120E6"/>
    <w:rPr>
      <w:rFonts w:ascii="Arial" w:hAnsi="Arial" w:cs="Times New Roman" w:hint="default"/>
      <w:sz w:val="20"/>
      <w:szCs w:val="20"/>
      <w:lang w:val="uk-UA" w:eastAsia="ru-RU"/>
    </w:rPr>
  </w:style>
  <w:style w:type="character" w:customStyle="1" w:styleId="243">
    <w:name w:val="Знак Знак243"/>
    <w:rsid w:val="00D120E6"/>
    <w:rPr>
      <w:rFonts w:ascii="Times New Roman CYR" w:hAnsi="Times New Roman CYR" w:cs="Times New Roman" w:hint="default"/>
      <w:color w:val="0000FF"/>
      <w:sz w:val="20"/>
      <w:szCs w:val="20"/>
      <w:u w:val="single"/>
      <w:lang w:val="uk-UA" w:eastAsia="ru-RU"/>
    </w:rPr>
  </w:style>
  <w:style w:type="character" w:customStyle="1" w:styleId="233">
    <w:name w:val="Знак Знак233"/>
    <w:rsid w:val="00D120E6"/>
    <w:rPr>
      <w:rFonts w:ascii="Times New Roman" w:hAnsi="Times New Roman" w:cs="Times New Roman" w:hint="default"/>
      <w:b/>
      <w:bCs/>
      <w:i/>
      <w:iCs/>
      <w:sz w:val="20"/>
      <w:szCs w:val="20"/>
      <w:lang w:val="uk-UA" w:eastAsia="ru-RU"/>
    </w:rPr>
  </w:style>
  <w:style w:type="character" w:customStyle="1" w:styleId="280">
    <w:name w:val="Знак Знак28"/>
    <w:rsid w:val="00D120E6"/>
    <w:rPr>
      <w:rFonts w:ascii="Arial" w:hAnsi="Arial" w:cs="Arial" w:hint="default"/>
      <w:b/>
      <w:bCs/>
      <w:kern w:val="32"/>
      <w:sz w:val="32"/>
      <w:szCs w:val="32"/>
      <w:lang w:val="uk-UA" w:eastAsia="ru-RU" w:bidi="ar-SA"/>
    </w:rPr>
  </w:style>
  <w:style w:type="character" w:customStyle="1" w:styleId="140">
    <w:name w:val="Знак Знак14"/>
    <w:locked/>
    <w:rsid w:val="00D120E6"/>
    <w:rPr>
      <w:rFonts w:ascii="Times New Roman" w:hAnsi="Times New Roman" w:cs="Times New Roman" w:hint="default"/>
      <w:sz w:val="24"/>
      <w:szCs w:val="24"/>
      <w:lang w:val="uk-UA" w:eastAsia="ru-RU" w:bidi="ar-SA"/>
    </w:rPr>
  </w:style>
  <w:style w:type="character" w:customStyle="1" w:styleId="120">
    <w:name w:val="Знак Знак12"/>
    <w:rsid w:val="00D120E6"/>
    <w:rPr>
      <w:rFonts w:ascii="Courier New" w:hAnsi="Courier New" w:cs="Courier New" w:hint="default"/>
      <w:color w:val="000000"/>
      <w:sz w:val="21"/>
      <w:szCs w:val="21"/>
      <w:lang w:val="uk-UA" w:eastAsia="ru-RU" w:bidi="ar-SA"/>
    </w:rPr>
  </w:style>
  <w:style w:type="character" w:customStyle="1" w:styleId="101">
    <w:name w:val="Знак Знак10"/>
    <w:rsid w:val="00D120E6"/>
    <w:rPr>
      <w:rFonts w:ascii="Times New Roman" w:hAnsi="Times New Roman" w:cs="Times New Roman" w:hint="default"/>
      <w:sz w:val="24"/>
      <w:szCs w:val="24"/>
      <w:lang w:val="uk-UA" w:eastAsia="ru-RU" w:bidi="ar-SA"/>
    </w:rPr>
  </w:style>
  <w:style w:type="character" w:customStyle="1" w:styleId="2f0">
    <w:name w:val="Знак Знак2"/>
    <w:rsid w:val="00D120E6"/>
    <w:rPr>
      <w:rFonts w:ascii="Futuris" w:hAnsi="Futuris" w:cs="Times New Roman" w:hint="default"/>
      <w:sz w:val="24"/>
      <w:lang w:val="uk-UA" w:eastAsia="ru-RU" w:bidi="ar-SA"/>
    </w:rPr>
  </w:style>
  <w:style w:type="character" w:customStyle="1" w:styleId="1f">
    <w:name w:val="Знак Знак1"/>
    <w:rsid w:val="00D120E6"/>
    <w:rPr>
      <w:rFonts w:ascii="Times New Roman" w:hAnsi="Times New Roman" w:cs="Times New Roman" w:hint="default"/>
      <w:sz w:val="24"/>
      <w:szCs w:val="24"/>
      <w:lang w:val="uk-UA" w:eastAsia="ru-RU" w:bidi="ar-SA"/>
    </w:rPr>
  </w:style>
  <w:style w:type="character" w:customStyle="1" w:styleId="274">
    <w:name w:val="Знак Знак274"/>
    <w:rsid w:val="00D120E6"/>
    <w:rPr>
      <w:rFonts w:ascii="Arial" w:hAnsi="Arial" w:cs="Times New Roman" w:hint="default"/>
      <w:b/>
      <w:bCs w:val="0"/>
      <w:kern w:val="28"/>
      <w:sz w:val="20"/>
      <w:szCs w:val="20"/>
      <w:lang w:val="uk-UA" w:eastAsia="ru-RU"/>
    </w:rPr>
  </w:style>
  <w:style w:type="character" w:customStyle="1" w:styleId="264">
    <w:name w:val="Знак Знак264"/>
    <w:rsid w:val="00D120E6"/>
    <w:rPr>
      <w:rFonts w:ascii="Times New Roman" w:hAnsi="Times New Roman" w:cs="Times New Roman" w:hint="default"/>
      <w:b/>
      <w:bCs w:val="0"/>
      <w:i/>
      <w:iCs w:val="0"/>
      <w:sz w:val="20"/>
      <w:szCs w:val="20"/>
      <w:lang w:val="uk-UA" w:eastAsia="ru-RU"/>
    </w:rPr>
  </w:style>
  <w:style w:type="character" w:customStyle="1" w:styleId="254">
    <w:name w:val="Знак Знак254"/>
    <w:rsid w:val="00D120E6"/>
    <w:rPr>
      <w:rFonts w:ascii="Arial" w:hAnsi="Arial" w:cs="Times New Roman" w:hint="default"/>
      <w:sz w:val="20"/>
      <w:szCs w:val="20"/>
      <w:lang w:val="uk-UA" w:eastAsia="ru-RU"/>
    </w:rPr>
  </w:style>
  <w:style w:type="character" w:customStyle="1" w:styleId="244">
    <w:name w:val="Знак Знак244"/>
    <w:rsid w:val="00D120E6"/>
    <w:rPr>
      <w:rFonts w:ascii="Times New Roman CYR" w:hAnsi="Times New Roman CYR" w:cs="Times New Roman" w:hint="default"/>
      <w:color w:val="0000FF"/>
      <w:sz w:val="20"/>
      <w:szCs w:val="20"/>
      <w:u w:val="single"/>
      <w:lang w:val="uk-UA" w:eastAsia="ru-RU"/>
    </w:rPr>
  </w:style>
  <w:style w:type="character" w:customStyle="1" w:styleId="234">
    <w:name w:val="Знак Знак234"/>
    <w:rsid w:val="00D120E6"/>
    <w:rPr>
      <w:rFonts w:ascii="Times New Roman" w:hAnsi="Times New Roman" w:cs="Times New Roman" w:hint="default"/>
      <w:b/>
      <w:bCs/>
      <w:i/>
      <w:iCs/>
      <w:sz w:val="20"/>
      <w:szCs w:val="20"/>
      <w:lang w:val="uk-UA" w:eastAsia="ru-RU"/>
    </w:rPr>
  </w:style>
  <w:style w:type="character" w:customStyle="1" w:styleId="275">
    <w:name w:val="Знак Знак275"/>
    <w:rsid w:val="00D120E6"/>
    <w:rPr>
      <w:rFonts w:ascii="Arial" w:hAnsi="Arial" w:cs="Times New Roman" w:hint="default"/>
      <w:b/>
      <w:bCs w:val="0"/>
      <w:kern w:val="28"/>
      <w:sz w:val="20"/>
      <w:szCs w:val="20"/>
      <w:lang w:val="uk-UA" w:eastAsia="ru-RU"/>
    </w:rPr>
  </w:style>
  <w:style w:type="character" w:customStyle="1" w:styleId="265">
    <w:name w:val="Знак Знак265"/>
    <w:rsid w:val="00D120E6"/>
    <w:rPr>
      <w:rFonts w:ascii="Times New Roman" w:hAnsi="Times New Roman" w:cs="Times New Roman" w:hint="default"/>
      <w:b/>
      <w:bCs w:val="0"/>
      <w:i/>
      <w:iCs w:val="0"/>
      <w:sz w:val="20"/>
      <w:szCs w:val="20"/>
      <w:lang w:val="uk-UA" w:eastAsia="ru-RU"/>
    </w:rPr>
  </w:style>
  <w:style w:type="character" w:customStyle="1" w:styleId="255">
    <w:name w:val="Знак Знак255"/>
    <w:rsid w:val="00D120E6"/>
    <w:rPr>
      <w:rFonts w:ascii="Arial" w:hAnsi="Arial" w:cs="Times New Roman" w:hint="default"/>
      <w:sz w:val="20"/>
      <w:szCs w:val="20"/>
      <w:lang w:val="uk-UA" w:eastAsia="ru-RU"/>
    </w:rPr>
  </w:style>
  <w:style w:type="character" w:customStyle="1" w:styleId="245">
    <w:name w:val="Знак Знак245"/>
    <w:rsid w:val="00D120E6"/>
    <w:rPr>
      <w:rFonts w:ascii="Times New Roman CYR" w:hAnsi="Times New Roman CYR" w:cs="Times New Roman" w:hint="default"/>
      <w:color w:val="0000FF"/>
      <w:sz w:val="20"/>
      <w:szCs w:val="20"/>
      <w:u w:val="single"/>
      <w:lang w:val="uk-UA" w:eastAsia="ru-RU"/>
    </w:rPr>
  </w:style>
  <w:style w:type="character" w:customStyle="1" w:styleId="235">
    <w:name w:val="Знак Знак235"/>
    <w:rsid w:val="00D120E6"/>
    <w:rPr>
      <w:rFonts w:ascii="Times New Roman" w:hAnsi="Times New Roman" w:cs="Times New Roman" w:hint="default"/>
      <w:b/>
      <w:bCs/>
      <w:i/>
      <w:iCs/>
      <w:sz w:val="20"/>
      <w:szCs w:val="20"/>
      <w:lang w:val="uk-UA" w:eastAsia="ru-RU"/>
    </w:rPr>
  </w:style>
  <w:style w:type="character" w:customStyle="1" w:styleId="apple-converted-space">
    <w:name w:val="apple-converted-space"/>
    <w:basedOn w:val="a2"/>
    <w:rsid w:val="00D120E6"/>
  </w:style>
  <w:style w:type="character" w:customStyle="1" w:styleId="rvts44">
    <w:name w:val="rvts44"/>
    <w:basedOn w:val="a2"/>
    <w:rsid w:val="00D120E6"/>
  </w:style>
  <w:style w:type="character" w:customStyle="1" w:styleId="rvts15">
    <w:name w:val="rvts15"/>
    <w:basedOn w:val="a2"/>
    <w:rsid w:val="00D120E6"/>
  </w:style>
  <w:style w:type="character" w:customStyle="1" w:styleId="rvts9">
    <w:name w:val="rvts9"/>
    <w:basedOn w:val="a2"/>
    <w:rsid w:val="00D120E6"/>
  </w:style>
  <w:style w:type="character" w:customStyle="1" w:styleId="rvts48">
    <w:name w:val="rvts48"/>
    <w:basedOn w:val="a2"/>
    <w:rsid w:val="00D120E6"/>
  </w:style>
  <w:style w:type="character" w:customStyle="1" w:styleId="rvts23">
    <w:name w:val="rvts23"/>
    <w:basedOn w:val="a2"/>
    <w:rsid w:val="00D120E6"/>
  </w:style>
  <w:style w:type="table" w:styleId="1f0">
    <w:name w:val="Table Grid 1"/>
    <w:basedOn w:val="a3"/>
    <w:semiHidden/>
    <w:unhideWhenUsed/>
    <w:rsid w:val="00D120E6"/>
    <w:pPr>
      <w:spacing w:before="40" w:after="0" w:line="280" w:lineRule="exact"/>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semiHidden/>
    <w:unhideWhenUsed/>
    <w:rsid w:val="00D120E6"/>
    <w:pPr>
      <w:spacing w:before="40" w:after="0" w:line="280" w:lineRule="exact"/>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c">
    <w:name w:val="Table Elegant"/>
    <w:basedOn w:val="a3"/>
    <w:semiHidden/>
    <w:unhideWhenUsed/>
    <w:rsid w:val="00D120E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d">
    <w:name w:val="Table Grid"/>
    <w:basedOn w:val="a3"/>
    <w:rsid w:val="00D120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Table Grid 1" w:uiPriority="0"/>
    <w:lsdException w:name="Table Grid 2"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120E6"/>
    <w:pPr>
      <w:spacing w:after="0" w:line="240" w:lineRule="auto"/>
      <w:jc w:val="both"/>
    </w:pPr>
    <w:rPr>
      <w:rFonts w:ascii="Times New Roman" w:eastAsia="Times New Roman" w:hAnsi="Times New Roman" w:cs="Times New Roman"/>
      <w:sz w:val="24"/>
      <w:szCs w:val="24"/>
      <w:lang w:val="uk-UA" w:eastAsia="ru-RU"/>
    </w:rPr>
  </w:style>
  <w:style w:type="paragraph" w:styleId="1">
    <w:name w:val="heading 1"/>
    <w:basedOn w:val="a1"/>
    <w:next w:val="a1"/>
    <w:link w:val="10"/>
    <w:qFormat/>
    <w:rsid w:val="00D120E6"/>
    <w:pPr>
      <w:keepNext/>
      <w:spacing w:before="240" w:after="60"/>
      <w:outlineLvl w:val="0"/>
    </w:pPr>
    <w:rPr>
      <w:rFonts w:ascii="Arial" w:hAnsi="Arial" w:cs="Arial"/>
      <w:b/>
      <w:bCs/>
      <w:kern w:val="32"/>
      <w:sz w:val="32"/>
      <w:szCs w:val="32"/>
    </w:rPr>
  </w:style>
  <w:style w:type="paragraph" w:styleId="2">
    <w:name w:val="heading 2"/>
    <w:basedOn w:val="a1"/>
    <w:next w:val="a1"/>
    <w:link w:val="21"/>
    <w:semiHidden/>
    <w:unhideWhenUsed/>
    <w:qFormat/>
    <w:rsid w:val="00D120E6"/>
    <w:pPr>
      <w:keepNext/>
      <w:spacing w:before="240" w:after="60"/>
      <w:outlineLvl w:val="1"/>
    </w:pPr>
    <w:rPr>
      <w:rFonts w:ascii="Arial" w:hAnsi="Arial" w:cs="Arial"/>
      <w:b/>
      <w:bCs/>
      <w:i/>
      <w:iCs/>
      <w:sz w:val="28"/>
      <w:szCs w:val="28"/>
    </w:rPr>
  </w:style>
  <w:style w:type="paragraph" w:styleId="3">
    <w:name w:val="heading 3"/>
    <w:basedOn w:val="a1"/>
    <w:link w:val="30"/>
    <w:semiHidden/>
    <w:unhideWhenUsed/>
    <w:qFormat/>
    <w:rsid w:val="00D120E6"/>
    <w:pPr>
      <w:spacing w:before="100" w:beforeAutospacing="1" w:after="100" w:afterAutospacing="1"/>
      <w:outlineLvl w:val="2"/>
    </w:pPr>
    <w:rPr>
      <w:b/>
      <w:bCs/>
      <w:sz w:val="27"/>
      <w:szCs w:val="27"/>
    </w:rPr>
  </w:style>
  <w:style w:type="paragraph" w:styleId="4">
    <w:name w:val="heading 4"/>
    <w:basedOn w:val="a1"/>
    <w:next w:val="a1"/>
    <w:link w:val="40"/>
    <w:semiHidden/>
    <w:unhideWhenUsed/>
    <w:qFormat/>
    <w:rsid w:val="00D120E6"/>
    <w:pPr>
      <w:keepNext/>
      <w:suppressAutoHyphens/>
      <w:spacing w:before="240" w:after="60"/>
      <w:outlineLvl w:val="3"/>
    </w:pPr>
    <w:rPr>
      <w:b/>
      <w:bCs/>
      <w:noProof/>
      <w:sz w:val="28"/>
      <w:szCs w:val="28"/>
    </w:rPr>
  </w:style>
  <w:style w:type="paragraph" w:styleId="5">
    <w:name w:val="heading 5"/>
    <w:basedOn w:val="a1"/>
    <w:next w:val="a1"/>
    <w:link w:val="50"/>
    <w:semiHidden/>
    <w:unhideWhenUsed/>
    <w:qFormat/>
    <w:rsid w:val="00D120E6"/>
    <w:pPr>
      <w:spacing w:before="240" w:after="60"/>
      <w:outlineLvl w:val="4"/>
    </w:pPr>
    <w:rPr>
      <w:b/>
      <w:bCs/>
      <w:i/>
      <w:iCs/>
      <w:sz w:val="26"/>
      <w:szCs w:val="26"/>
    </w:rPr>
  </w:style>
  <w:style w:type="paragraph" w:styleId="6">
    <w:name w:val="heading 6"/>
    <w:basedOn w:val="a1"/>
    <w:next w:val="a1"/>
    <w:link w:val="60"/>
    <w:semiHidden/>
    <w:unhideWhenUsed/>
    <w:qFormat/>
    <w:rsid w:val="00D120E6"/>
    <w:pPr>
      <w:suppressAutoHyphens/>
      <w:spacing w:before="240" w:after="60"/>
      <w:outlineLvl w:val="5"/>
    </w:pPr>
    <w:rPr>
      <w:b/>
      <w:bCs/>
      <w:noProof/>
      <w:sz w:val="22"/>
      <w:szCs w:val="22"/>
    </w:rPr>
  </w:style>
  <w:style w:type="paragraph" w:styleId="7">
    <w:name w:val="heading 7"/>
    <w:basedOn w:val="a1"/>
    <w:next w:val="a1"/>
    <w:link w:val="70"/>
    <w:uiPriority w:val="99"/>
    <w:semiHidden/>
    <w:unhideWhenUsed/>
    <w:qFormat/>
    <w:rsid w:val="00D120E6"/>
    <w:pPr>
      <w:suppressAutoHyphens/>
      <w:spacing w:before="240" w:after="60"/>
      <w:outlineLvl w:val="6"/>
    </w:pPr>
    <w:rPr>
      <w:noProof/>
    </w:rPr>
  </w:style>
  <w:style w:type="paragraph" w:styleId="8">
    <w:name w:val="heading 8"/>
    <w:basedOn w:val="a1"/>
    <w:next w:val="a1"/>
    <w:link w:val="80"/>
    <w:uiPriority w:val="99"/>
    <w:semiHidden/>
    <w:unhideWhenUsed/>
    <w:qFormat/>
    <w:rsid w:val="00D120E6"/>
    <w:pPr>
      <w:suppressAutoHyphens/>
      <w:spacing w:before="240" w:after="60"/>
      <w:outlineLvl w:val="7"/>
    </w:pPr>
    <w:rPr>
      <w:i/>
      <w:iCs/>
      <w:noProof/>
    </w:rPr>
  </w:style>
  <w:style w:type="paragraph" w:styleId="9">
    <w:name w:val="heading 9"/>
    <w:basedOn w:val="a1"/>
    <w:next w:val="a1"/>
    <w:link w:val="90"/>
    <w:uiPriority w:val="99"/>
    <w:semiHidden/>
    <w:unhideWhenUsed/>
    <w:qFormat/>
    <w:rsid w:val="00D120E6"/>
    <w:pPr>
      <w:suppressAutoHyphens/>
      <w:spacing w:before="240" w:after="60"/>
      <w:outlineLvl w:val="8"/>
    </w:pPr>
    <w:rPr>
      <w:rFonts w:ascii="Arial" w:hAnsi="Arial" w:cs="Arial"/>
      <w:noProof/>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120E6"/>
    <w:rPr>
      <w:rFonts w:ascii="Arial" w:eastAsia="Times New Roman" w:hAnsi="Arial" w:cs="Arial"/>
      <w:b/>
      <w:bCs/>
      <w:kern w:val="32"/>
      <w:sz w:val="32"/>
      <w:szCs w:val="32"/>
      <w:lang w:val="uk-UA" w:eastAsia="ru-RU"/>
    </w:rPr>
  </w:style>
  <w:style w:type="character" w:customStyle="1" w:styleId="20">
    <w:name w:val="Заголовок 2 Знак"/>
    <w:basedOn w:val="a2"/>
    <w:semiHidden/>
    <w:rsid w:val="00D120E6"/>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2"/>
    <w:link w:val="3"/>
    <w:semiHidden/>
    <w:rsid w:val="00D120E6"/>
    <w:rPr>
      <w:rFonts w:ascii="Times New Roman" w:eastAsia="Times New Roman" w:hAnsi="Times New Roman" w:cs="Times New Roman"/>
      <w:b/>
      <w:bCs/>
      <w:sz w:val="27"/>
      <w:szCs w:val="27"/>
      <w:lang w:val="uk-UA" w:eastAsia="ru-RU"/>
    </w:rPr>
  </w:style>
  <w:style w:type="character" w:customStyle="1" w:styleId="40">
    <w:name w:val="Заголовок 4 Знак"/>
    <w:basedOn w:val="a2"/>
    <w:link w:val="4"/>
    <w:semiHidden/>
    <w:rsid w:val="00D120E6"/>
    <w:rPr>
      <w:rFonts w:ascii="Times New Roman" w:eastAsia="Times New Roman" w:hAnsi="Times New Roman" w:cs="Times New Roman"/>
      <w:b/>
      <w:bCs/>
      <w:noProof/>
      <w:sz w:val="28"/>
      <w:szCs w:val="28"/>
      <w:lang w:val="uk-UA" w:eastAsia="ru-RU"/>
    </w:rPr>
  </w:style>
  <w:style w:type="character" w:customStyle="1" w:styleId="50">
    <w:name w:val="Заголовок 5 Знак"/>
    <w:basedOn w:val="a2"/>
    <w:link w:val="5"/>
    <w:semiHidden/>
    <w:rsid w:val="00D120E6"/>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2"/>
    <w:link w:val="6"/>
    <w:semiHidden/>
    <w:rsid w:val="00D120E6"/>
    <w:rPr>
      <w:rFonts w:ascii="Times New Roman" w:eastAsia="Times New Roman" w:hAnsi="Times New Roman" w:cs="Times New Roman"/>
      <w:b/>
      <w:bCs/>
      <w:noProof/>
      <w:lang w:val="uk-UA" w:eastAsia="ru-RU"/>
    </w:rPr>
  </w:style>
  <w:style w:type="character" w:customStyle="1" w:styleId="70">
    <w:name w:val="Заголовок 7 Знак"/>
    <w:basedOn w:val="a2"/>
    <w:link w:val="7"/>
    <w:uiPriority w:val="99"/>
    <w:semiHidden/>
    <w:rsid w:val="00D120E6"/>
    <w:rPr>
      <w:rFonts w:ascii="Times New Roman" w:eastAsia="Times New Roman" w:hAnsi="Times New Roman" w:cs="Times New Roman"/>
      <w:noProof/>
      <w:sz w:val="24"/>
      <w:szCs w:val="24"/>
      <w:lang w:val="uk-UA" w:eastAsia="ru-RU"/>
    </w:rPr>
  </w:style>
  <w:style w:type="character" w:customStyle="1" w:styleId="80">
    <w:name w:val="Заголовок 8 Знак"/>
    <w:basedOn w:val="a2"/>
    <w:link w:val="8"/>
    <w:uiPriority w:val="99"/>
    <w:semiHidden/>
    <w:rsid w:val="00D120E6"/>
    <w:rPr>
      <w:rFonts w:ascii="Times New Roman" w:eastAsia="Times New Roman" w:hAnsi="Times New Roman" w:cs="Times New Roman"/>
      <w:i/>
      <w:iCs/>
      <w:noProof/>
      <w:sz w:val="24"/>
      <w:szCs w:val="24"/>
      <w:lang w:val="uk-UA" w:eastAsia="ru-RU"/>
    </w:rPr>
  </w:style>
  <w:style w:type="character" w:customStyle="1" w:styleId="90">
    <w:name w:val="Заголовок 9 Знак"/>
    <w:basedOn w:val="a2"/>
    <w:link w:val="9"/>
    <w:uiPriority w:val="99"/>
    <w:semiHidden/>
    <w:rsid w:val="00D120E6"/>
    <w:rPr>
      <w:rFonts w:ascii="Arial" w:eastAsia="Times New Roman" w:hAnsi="Arial" w:cs="Arial"/>
      <w:noProof/>
      <w:lang w:val="uk-UA" w:eastAsia="ru-RU"/>
    </w:rPr>
  </w:style>
  <w:style w:type="character" w:styleId="a5">
    <w:name w:val="Hyperlink"/>
    <w:uiPriority w:val="99"/>
    <w:semiHidden/>
    <w:unhideWhenUsed/>
    <w:rsid w:val="00D120E6"/>
    <w:rPr>
      <w:color w:val="0000FF"/>
      <w:u w:val="single"/>
    </w:rPr>
  </w:style>
  <w:style w:type="character" w:styleId="a6">
    <w:name w:val="FollowedHyperlink"/>
    <w:semiHidden/>
    <w:unhideWhenUsed/>
    <w:rsid w:val="00D120E6"/>
    <w:rPr>
      <w:color w:val="800080"/>
      <w:u w:val="single"/>
    </w:rPr>
  </w:style>
  <w:style w:type="paragraph" w:styleId="HTML">
    <w:name w:val="HTML Preformatted"/>
    <w:basedOn w:val="a1"/>
    <w:link w:val="HTML1"/>
    <w:uiPriority w:val="99"/>
    <w:semiHidden/>
    <w:unhideWhenUsed/>
    <w:rsid w:val="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2"/>
    <w:uiPriority w:val="99"/>
    <w:semiHidden/>
    <w:rsid w:val="00D120E6"/>
    <w:rPr>
      <w:rFonts w:ascii="Consolas" w:eastAsia="Times New Roman" w:hAnsi="Consolas" w:cs="Consolas"/>
      <w:sz w:val="20"/>
      <w:szCs w:val="20"/>
      <w:lang w:val="uk-UA" w:eastAsia="ru-RU"/>
    </w:rPr>
  </w:style>
  <w:style w:type="character" w:styleId="a7">
    <w:name w:val="Strong"/>
    <w:uiPriority w:val="22"/>
    <w:qFormat/>
    <w:rsid w:val="00D120E6"/>
    <w:rPr>
      <w:rFonts w:ascii="Times New Roman" w:hAnsi="Times New Roman" w:cs="Times New Roman" w:hint="default"/>
      <w:b/>
      <w:bCs/>
      <w:sz w:val="24"/>
    </w:rPr>
  </w:style>
  <w:style w:type="character" w:customStyle="1" w:styleId="a8">
    <w:name w:val="Обычный (веб) Знак"/>
    <w:link w:val="a9"/>
    <w:uiPriority w:val="99"/>
    <w:semiHidden/>
    <w:locked/>
    <w:rsid w:val="00D120E6"/>
    <w:rPr>
      <w:rFonts w:ascii="Times New Roman" w:eastAsia="Times New Roman" w:hAnsi="Times New Roman" w:cs="Times New Roman"/>
      <w:sz w:val="24"/>
      <w:szCs w:val="24"/>
      <w:lang w:val="uk-UA"/>
    </w:rPr>
  </w:style>
  <w:style w:type="paragraph" w:styleId="a9">
    <w:name w:val="Normal (Web)"/>
    <w:basedOn w:val="a1"/>
    <w:link w:val="a8"/>
    <w:uiPriority w:val="99"/>
    <w:semiHidden/>
    <w:unhideWhenUsed/>
    <w:rsid w:val="00D120E6"/>
    <w:pPr>
      <w:spacing w:before="100" w:beforeAutospacing="1" w:after="100" w:afterAutospacing="1"/>
    </w:pPr>
    <w:rPr>
      <w:lang w:eastAsia="en-US"/>
    </w:rPr>
  </w:style>
  <w:style w:type="paragraph" w:styleId="11">
    <w:name w:val="toc 1"/>
    <w:basedOn w:val="a1"/>
    <w:next w:val="a1"/>
    <w:autoRedefine/>
    <w:uiPriority w:val="39"/>
    <w:semiHidden/>
    <w:unhideWhenUsed/>
    <w:qFormat/>
    <w:rsid w:val="00D120E6"/>
    <w:pPr>
      <w:tabs>
        <w:tab w:val="right" w:leader="dot" w:pos="10065"/>
      </w:tabs>
      <w:spacing w:line="280" w:lineRule="exact"/>
    </w:pPr>
    <w:rPr>
      <w:sz w:val="22"/>
      <w:szCs w:val="20"/>
    </w:rPr>
  </w:style>
  <w:style w:type="paragraph" w:styleId="22">
    <w:name w:val="toc 2"/>
    <w:basedOn w:val="a1"/>
    <w:next w:val="a1"/>
    <w:autoRedefine/>
    <w:uiPriority w:val="39"/>
    <w:semiHidden/>
    <w:unhideWhenUsed/>
    <w:qFormat/>
    <w:rsid w:val="00D120E6"/>
    <w:pPr>
      <w:tabs>
        <w:tab w:val="left" w:pos="800"/>
        <w:tab w:val="right" w:leader="dot" w:pos="10065"/>
      </w:tabs>
      <w:spacing w:line="280" w:lineRule="exact"/>
      <w:ind w:right="-53"/>
    </w:pPr>
    <w:rPr>
      <w:sz w:val="22"/>
      <w:szCs w:val="20"/>
    </w:rPr>
  </w:style>
  <w:style w:type="paragraph" w:styleId="31">
    <w:name w:val="toc 3"/>
    <w:basedOn w:val="a1"/>
    <w:next w:val="a1"/>
    <w:autoRedefine/>
    <w:uiPriority w:val="39"/>
    <w:semiHidden/>
    <w:unhideWhenUsed/>
    <w:qFormat/>
    <w:rsid w:val="00D120E6"/>
    <w:pPr>
      <w:tabs>
        <w:tab w:val="left" w:pos="1000"/>
        <w:tab w:val="right" w:leader="dot" w:pos="10065"/>
      </w:tabs>
      <w:spacing w:before="40" w:line="280" w:lineRule="exact"/>
      <w:ind w:left="284"/>
    </w:pPr>
    <w:rPr>
      <w:noProof/>
      <w:sz w:val="22"/>
      <w:szCs w:val="20"/>
    </w:rPr>
  </w:style>
  <w:style w:type="paragraph" w:styleId="41">
    <w:name w:val="toc 4"/>
    <w:basedOn w:val="a1"/>
    <w:next w:val="a1"/>
    <w:autoRedefine/>
    <w:uiPriority w:val="39"/>
    <w:semiHidden/>
    <w:unhideWhenUsed/>
    <w:rsid w:val="00D120E6"/>
    <w:pPr>
      <w:ind w:left="600" w:firstLine="567"/>
    </w:pPr>
    <w:rPr>
      <w:sz w:val="18"/>
      <w:szCs w:val="18"/>
    </w:rPr>
  </w:style>
  <w:style w:type="paragraph" w:styleId="51">
    <w:name w:val="toc 5"/>
    <w:basedOn w:val="a1"/>
    <w:next w:val="a1"/>
    <w:autoRedefine/>
    <w:uiPriority w:val="99"/>
    <w:semiHidden/>
    <w:unhideWhenUsed/>
    <w:rsid w:val="00D120E6"/>
    <w:pPr>
      <w:ind w:left="800" w:firstLine="567"/>
    </w:pPr>
    <w:rPr>
      <w:sz w:val="18"/>
      <w:szCs w:val="18"/>
    </w:rPr>
  </w:style>
  <w:style w:type="paragraph" w:styleId="61">
    <w:name w:val="toc 6"/>
    <w:basedOn w:val="a1"/>
    <w:next w:val="a1"/>
    <w:autoRedefine/>
    <w:uiPriority w:val="99"/>
    <w:semiHidden/>
    <w:unhideWhenUsed/>
    <w:rsid w:val="00D120E6"/>
    <w:pPr>
      <w:ind w:left="1000" w:firstLine="567"/>
    </w:pPr>
    <w:rPr>
      <w:sz w:val="18"/>
      <w:szCs w:val="18"/>
    </w:rPr>
  </w:style>
  <w:style w:type="paragraph" w:styleId="71">
    <w:name w:val="toc 7"/>
    <w:basedOn w:val="a1"/>
    <w:next w:val="a1"/>
    <w:autoRedefine/>
    <w:uiPriority w:val="99"/>
    <w:semiHidden/>
    <w:unhideWhenUsed/>
    <w:rsid w:val="00D120E6"/>
    <w:pPr>
      <w:ind w:left="1200" w:firstLine="567"/>
    </w:pPr>
    <w:rPr>
      <w:sz w:val="18"/>
      <w:szCs w:val="18"/>
    </w:rPr>
  </w:style>
  <w:style w:type="paragraph" w:styleId="81">
    <w:name w:val="toc 8"/>
    <w:basedOn w:val="a1"/>
    <w:next w:val="a1"/>
    <w:autoRedefine/>
    <w:uiPriority w:val="99"/>
    <w:semiHidden/>
    <w:unhideWhenUsed/>
    <w:rsid w:val="00D120E6"/>
    <w:pPr>
      <w:ind w:left="1400" w:firstLine="567"/>
    </w:pPr>
    <w:rPr>
      <w:sz w:val="18"/>
      <w:szCs w:val="18"/>
    </w:rPr>
  </w:style>
  <w:style w:type="paragraph" w:styleId="91">
    <w:name w:val="toc 9"/>
    <w:basedOn w:val="a1"/>
    <w:next w:val="a1"/>
    <w:autoRedefine/>
    <w:uiPriority w:val="99"/>
    <w:semiHidden/>
    <w:unhideWhenUsed/>
    <w:rsid w:val="00D120E6"/>
    <w:pPr>
      <w:ind w:left="1600" w:firstLine="567"/>
    </w:pPr>
    <w:rPr>
      <w:sz w:val="18"/>
      <w:szCs w:val="18"/>
    </w:rPr>
  </w:style>
  <w:style w:type="paragraph" w:styleId="aa">
    <w:name w:val="footnote text"/>
    <w:basedOn w:val="a1"/>
    <w:link w:val="ab"/>
    <w:uiPriority w:val="99"/>
    <w:semiHidden/>
    <w:unhideWhenUsed/>
    <w:rsid w:val="00D120E6"/>
    <w:pPr>
      <w:tabs>
        <w:tab w:val="left" w:pos="1134"/>
      </w:tabs>
      <w:spacing w:before="40"/>
      <w:ind w:firstLine="567"/>
    </w:pPr>
    <w:rPr>
      <w:sz w:val="22"/>
      <w:szCs w:val="22"/>
    </w:rPr>
  </w:style>
  <w:style w:type="character" w:customStyle="1" w:styleId="ab">
    <w:name w:val="Текст сноски Знак"/>
    <w:basedOn w:val="a2"/>
    <w:link w:val="aa"/>
    <w:uiPriority w:val="99"/>
    <w:semiHidden/>
    <w:rsid w:val="00D120E6"/>
    <w:rPr>
      <w:rFonts w:ascii="Times New Roman" w:eastAsia="Times New Roman" w:hAnsi="Times New Roman" w:cs="Times New Roman"/>
      <w:lang w:val="uk-UA" w:eastAsia="ru-RU"/>
    </w:rPr>
  </w:style>
  <w:style w:type="paragraph" w:styleId="ac">
    <w:name w:val="annotation text"/>
    <w:basedOn w:val="a1"/>
    <w:link w:val="ad"/>
    <w:uiPriority w:val="99"/>
    <w:semiHidden/>
    <w:unhideWhenUsed/>
    <w:rsid w:val="00D120E6"/>
    <w:pPr>
      <w:tabs>
        <w:tab w:val="left" w:pos="1134"/>
      </w:tabs>
      <w:spacing w:before="40"/>
      <w:ind w:firstLine="567"/>
    </w:pPr>
    <w:rPr>
      <w:sz w:val="22"/>
      <w:szCs w:val="22"/>
    </w:rPr>
  </w:style>
  <w:style w:type="character" w:customStyle="1" w:styleId="ad">
    <w:name w:val="Текст примечания Знак"/>
    <w:basedOn w:val="a2"/>
    <w:link w:val="ac"/>
    <w:uiPriority w:val="99"/>
    <w:semiHidden/>
    <w:rsid w:val="00D120E6"/>
    <w:rPr>
      <w:rFonts w:ascii="Times New Roman" w:eastAsia="Times New Roman" w:hAnsi="Times New Roman" w:cs="Times New Roman"/>
      <w:lang w:val="uk-UA" w:eastAsia="ru-RU"/>
    </w:rPr>
  </w:style>
  <w:style w:type="paragraph" w:styleId="ae">
    <w:name w:val="header"/>
    <w:basedOn w:val="a1"/>
    <w:link w:val="af"/>
    <w:uiPriority w:val="99"/>
    <w:semiHidden/>
    <w:unhideWhenUsed/>
    <w:rsid w:val="00D120E6"/>
    <w:pPr>
      <w:tabs>
        <w:tab w:val="center" w:pos="4153"/>
        <w:tab w:val="right" w:pos="8306"/>
      </w:tabs>
    </w:pPr>
    <w:rPr>
      <w:sz w:val="20"/>
      <w:szCs w:val="20"/>
    </w:rPr>
  </w:style>
  <w:style w:type="character" w:customStyle="1" w:styleId="af">
    <w:name w:val="Верхний колонтитул Знак"/>
    <w:basedOn w:val="a2"/>
    <w:link w:val="ae"/>
    <w:uiPriority w:val="99"/>
    <w:semiHidden/>
    <w:rsid w:val="00D120E6"/>
    <w:rPr>
      <w:rFonts w:ascii="Times New Roman" w:eastAsia="Times New Roman" w:hAnsi="Times New Roman" w:cs="Times New Roman"/>
      <w:sz w:val="20"/>
      <w:szCs w:val="20"/>
      <w:lang w:val="uk-UA" w:eastAsia="ru-RU"/>
    </w:rPr>
  </w:style>
  <w:style w:type="paragraph" w:styleId="af0">
    <w:name w:val="footer"/>
    <w:basedOn w:val="a1"/>
    <w:link w:val="af1"/>
    <w:uiPriority w:val="99"/>
    <w:semiHidden/>
    <w:unhideWhenUsed/>
    <w:rsid w:val="00D120E6"/>
    <w:pPr>
      <w:tabs>
        <w:tab w:val="center" w:pos="4677"/>
        <w:tab w:val="right" w:pos="9355"/>
      </w:tabs>
    </w:pPr>
  </w:style>
  <w:style w:type="character" w:customStyle="1" w:styleId="af1">
    <w:name w:val="Нижний колонтитул Знак"/>
    <w:basedOn w:val="a2"/>
    <w:link w:val="af0"/>
    <w:uiPriority w:val="99"/>
    <w:semiHidden/>
    <w:rsid w:val="00D120E6"/>
    <w:rPr>
      <w:rFonts w:ascii="Times New Roman" w:eastAsia="Times New Roman" w:hAnsi="Times New Roman" w:cs="Times New Roman"/>
      <w:sz w:val="24"/>
      <w:szCs w:val="24"/>
      <w:lang w:val="uk-UA" w:eastAsia="ru-RU"/>
    </w:rPr>
  </w:style>
  <w:style w:type="paragraph" w:styleId="af2">
    <w:name w:val="caption"/>
    <w:basedOn w:val="a1"/>
    <w:next w:val="a1"/>
    <w:uiPriority w:val="99"/>
    <w:semiHidden/>
    <w:unhideWhenUsed/>
    <w:qFormat/>
    <w:rsid w:val="00D120E6"/>
    <w:rPr>
      <w:b/>
      <w:bCs/>
      <w:sz w:val="20"/>
      <w:szCs w:val="20"/>
    </w:rPr>
  </w:style>
  <w:style w:type="paragraph" w:styleId="af3">
    <w:name w:val="endnote text"/>
    <w:basedOn w:val="a1"/>
    <w:link w:val="af4"/>
    <w:uiPriority w:val="99"/>
    <w:semiHidden/>
    <w:unhideWhenUsed/>
    <w:rsid w:val="00D120E6"/>
    <w:pPr>
      <w:spacing w:before="40" w:line="280" w:lineRule="exact"/>
    </w:pPr>
    <w:rPr>
      <w:sz w:val="22"/>
      <w:szCs w:val="20"/>
    </w:rPr>
  </w:style>
  <w:style w:type="character" w:customStyle="1" w:styleId="af4">
    <w:name w:val="Текст концевой сноски Знак"/>
    <w:basedOn w:val="a2"/>
    <w:link w:val="af3"/>
    <w:uiPriority w:val="99"/>
    <w:semiHidden/>
    <w:rsid w:val="00D120E6"/>
    <w:rPr>
      <w:rFonts w:ascii="Times New Roman" w:eastAsia="Times New Roman" w:hAnsi="Times New Roman" w:cs="Times New Roman"/>
      <w:szCs w:val="20"/>
      <w:lang w:val="uk-UA" w:eastAsia="ru-RU"/>
    </w:rPr>
  </w:style>
  <w:style w:type="paragraph" w:styleId="af5">
    <w:name w:val="List"/>
    <w:basedOn w:val="a1"/>
    <w:uiPriority w:val="99"/>
    <w:semiHidden/>
    <w:unhideWhenUsed/>
    <w:rsid w:val="00D120E6"/>
    <w:pPr>
      <w:suppressAutoHyphens/>
      <w:ind w:left="283" w:hanging="283"/>
    </w:pPr>
    <w:rPr>
      <w:noProof/>
      <w:sz w:val="20"/>
      <w:szCs w:val="20"/>
    </w:rPr>
  </w:style>
  <w:style w:type="paragraph" w:styleId="af6">
    <w:name w:val="List Bullet"/>
    <w:basedOn w:val="a1"/>
    <w:uiPriority w:val="99"/>
    <w:semiHidden/>
    <w:unhideWhenUsed/>
    <w:rsid w:val="00D120E6"/>
    <w:pPr>
      <w:tabs>
        <w:tab w:val="num" w:pos="720"/>
        <w:tab w:val="num" w:pos="1068"/>
        <w:tab w:val="num" w:pos="1353"/>
      </w:tabs>
      <w:ind w:left="1353" w:hanging="360"/>
    </w:pPr>
    <w:rPr>
      <w:sz w:val="28"/>
    </w:rPr>
  </w:style>
  <w:style w:type="paragraph" w:styleId="23">
    <w:name w:val="List 2"/>
    <w:basedOn w:val="a1"/>
    <w:uiPriority w:val="99"/>
    <w:semiHidden/>
    <w:unhideWhenUsed/>
    <w:rsid w:val="00D120E6"/>
    <w:pPr>
      <w:snapToGrid w:val="0"/>
      <w:ind w:left="566" w:hanging="283"/>
    </w:pPr>
    <w:rPr>
      <w:sz w:val="20"/>
      <w:szCs w:val="20"/>
      <w:lang w:val="ru-RU"/>
    </w:rPr>
  </w:style>
  <w:style w:type="paragraph" w:styleId="af7">
    <w:name w:val="Title"/>
    <w:basedOn w:val="a1"/>
    <w:link w:val="af8"/>
    <w:uiPriority w:val="99"/>
    <w:qFormat/>
    <w:rsid w:val="00D120E6"/>
    <w:pPr>
      <w:ind w:left="-567" w:right="-766"/>
      <w:jc w:val="center"/>
    </w:pPr>
    <w:rPr>
      <w:rFonts w:ascii="Futuris" w:hAnsi="Futuris"/>
      <w:szCs w:val="20"/>
    </w:rPr>
  </w:style>
  <w:style w:type="character" w:customStyle="1" w:styleId="af8">
    <w:name w:val="Название Знак"/>
    <w:basedOn w:val="a2"/>
    <w:link w:val="af7"/>
    <w:uiPriority w:val="99"/>
    <w:rsid w:val="00D120E6"/>
    <w:rPr>
      <w:rFonts w:ascii="Futuris" w:eastAsia="Times New Roman" w:hAnsi="Futuris" w:cs="Times New Roman"/>
      <w:sz w:val="24"/>
      <w:szCs w:val="20"/>
      <w:lang w:val="uk-UA" w:eastAsia="ru-RU"/>
    </w:rPr>
  </w:style>
  <w:style w:type="paragraph" w:styleId="af9">
    <w:name w:val="Body Text"/>
    <w:basedOn w:val="a1"/>
    <w:link w:val="afa"/>
    <w:uiPriority w:val="99"/>
    <w:semiHidden/>
    <w:unhideWhenUsed/>
    <w:rsid w:val="00D120E6"/>
    <w:pPr>
      <w:widowControl w:val="0"/>
    </w:pPr>
    <w:rPr>
      <w:sz w:val="20"/>
      <w:szCs w:val="20"/>
    </w:rPr>
  </w:style>
  <w:style w:type="character" w:customStyle="1" w:styleId="afa">
    <w:name w:val="Основной текст Знак"/>
    <w:basedOn w:val="a2"/>
    <w:link w:val="af9"/>
    <w:uiPriority w:val="99"/>
    <w:semiHidden/>
    <w:rsid w:val="00D120E6"/>
    <w:rPr>
      <w:rFonts w:ascii="Times New Roman" w:eastAsia="Times New Roman" w:hAnsi="Times New Roman" w:cs="Times New Roman"/>
      <w:sz w:val="20"/>
      <w:szCs w:val="20"/>
      <w:lang w:val="uk-UA" w:eastAsia="ru-RU"/>
    </w:rPr>
  </w:style>
  <w:style w:type="paragraph" w:styleId="afb">
    <w:name w:val="Body Text Indent"/>
    <w:basedOn w:val="a1"/>
    <w:link w:val="afc"/>
    <w:uiPriority w:val="99"/>
    <w:semiHidden/>
    <w:unhideWhenUsed/>
    <w:rsid w:val="00D120E6"/>
    <w:pPr>
      <w:spacing w:after="120"/>
      <w:ind w:left="283"/>
    </w:pPr>
  </w:style>
  <w:style w:type="character" w:customStyle="1" w:styleId="afc">
    <w:name w:val="Основной текст с отступом Знак"/>
    <w:basedOn w:val="a2"/>
    <w:link w:val="afb"/>
    <w:uiPriority w:val="99"/>
    <w:semiHidden/>
    <w:rsid w:val="00D120E6"/>
    <w:rPr>
      <w:rFonts w:ascii="Times New Roman" w:eastAsia="Times New Roman" w:hAnsi="Times New Roman" w:cs="Times New Roman"/>
      <w:sz w:val="24"/>
      <w:szCs w:val="24"/>
      <w:lang w:val="uk-UA" w:eastAsia="ru-RU"/>
    </w:rPr>
  </w:style>
  <w:style w:type="paragraph" w:styleId="a0">
    <w:name w:val="Subtitle"/>
    <w:basedOn w:val="a1"/>
    <w:next w:val="a1"/>
    <w:link w:val="afd"/>
    <w:autoRedefine/>
    <w:uiPriority w:val="11"/>
    <w:qFormat/>
    <w:rsid w:val="00D120E6"/>
    <w:pPr>
      <w:numPr>
        <w:numId w:val="1"/>
      </w:numPr>
      <w:ind w:left="284"/>
    </w:pPr>
    <w:rPr>
      <w:rFonts w:ascii="Cambria" w:hAnsi="Cambria"/>
      <w:i/>
      <w:iCs/>
      <w:color w:val="4F81BD"/>
    </w:rPr>
  </w:style>
  <w:style w:type="character" w:customStyle="1" w:styleId="afd">
    <w:name w:val="Подзаголовок Знак"/>
    <w:basedOn w:val="a2"/>
    <w:link w:val="a0"/>
    <w:uiPriority w:val="11"/>
    <w:rsid w:val="00D120E6"/>
    <w:rPr>
      <w:rFonts w:ascii="Cambria" w:eastAsia="Times New Roman" w:hAnsi="Cambria" w:cs="Times New Roman"/>
      <w:i/>
      <w:iCs/>
      <w:color w:val="4F81BD"/>
      <w:sz w:val="24"/>
      <w:szCs w:val="24"/>
      <w:lang w:val="uk-UA" w:eastAsia="ru-RU"/>
    </w:rPr>
  </w:style>
  <w:style w:type="paragraph" w:styleId="24">
    <w:name w:val="Body Text 2"/>
    <w:basedOn w:val="a1"/>
    <w:link w:val="25"/>
    <w:uiPriority w:val="99"/>
    <w:semiHidden/>
    <w:unhideWhenUsed/>
    <w:rsid w:val="00D120E6"/>
    <w:pPr>
      <w:spacing w:after="120" w:line="480" w:lineRule="auto"/>
    </w:pPr>
  </w:style>
  <w:style w:type="character" w:customStyle="1" w:styleId="25">
    <w:name w:val="Основной текст 2 Знак"/>
    <w:basedOn w:val="a2"/>
    <w:link w:val="24"/>
    <w:uiPriority w:val="99"/>
    <w:semiHidden/>
    <w:rsid w:val="00D120E6"/>
    <w:rPr>
      <w:rFonts w:ascii="Times New Roman" w:eastAsia="Times New Roman" w:hAnsi="Times New Roman" w:cs="Times New Roman"/>
      <w:sz w:val="24"/>
      <w:szCs w:val="24"/>
      <w:lang w:val="uk-UA" w:eastAsia="ru-RU"/>
    </w:rPr>
  </w:style>
  <w:style w:type="paragraph" w:styleId="32">
    <w:name w:val="Body Text 3"/>
    <w:basedOn w:val="a1"/>
    <w:link w:val="33"/>
    <w:uiPriority w:val="99"/>
    <w:semiHidden/>
    <w:unhideWhenUsed/>
    <w:rsid w:val="00D120E6"/>
    <w:pPr>
      <w:suppressAutoHyphens/>
      <w:spacing w:after="120"/>
    </w:pPr>
    <w:rPr>
      <w:noProof/>
      <w:sz w:val="16"/>
      <w:szCs w:val="16"/>
    </w:rPr>
  </w:style>
  <w:style w:type="character" w:customStyle="1" w:styleId="33">
    <w:name w:val="Основной текст 3 Знак"/>
    <w:basedOn w:val="a2"/>
    <w:link w:val="32"/>
    <w:uiPriority w:val="99"/>
    <w:semiHidden/>
    <w:rsid w:val="00D120E6"/>
    <w:rPr>
      <w:rFonts w:ascii="Times New Roman" w:eastAsia="Times New Roman" w:hAnsi="Times New Roman" w:cs="Times New Roman"/>
      <w:noProof/>
      <w:sz w:val="16"/>
      <w:szCs w:val="16"/>
      <w:lang w:val="uk-UA" w:eastAsia="ru-RU"/>
    </w:rPr>
  </w:style>
  <w:style w:type="paragraph" w:styleId="26">
    <w:name w:val="Body Text Indent 2"/>
    <w:basedOn w:val="a1"/>
    <w:link w:val="27"/>
    <w:uiPriority w:val="99"/>
    <w:semiHidden/>
    <w:unhideWhenUsed/>
    <w:rsid w:val="00D120E6"/>
    <w:pPr>
      <w:suppressAutoHyphens/>
      <w:spacing w:after="120" w:line="480" w:lineRule="auto"/>
      <w:ind w:left="283"/>
    </w:pPr>
    <w:rPr>
      <w:noProof/>
      <w:sz w:val="20"/>
      <w:szCs w:val="20"/>
    </w:rPr>
  </w:style>
  <w:style w:type="character" w:customStyle="1" w:styleId="27">
    <w:name w:val="Основной текст с отступом 2 Знак"/>
    <w:basedOn w:val="a2"/>
    <w:link w:val="26"/>
    <w:uiPriority w:val="99"/>
    <w:semiHidden/>
    <w:rsid w:val="00D120E6"/>
    <w:rPr>
      <w:rFonts w:ascii="Times New Roman" w:eastAsia="Times New Roman" w:hAnsi="Times New Roman" w:cs="Times New Roman"/>
      <w:noProof/>
      <w:sz w:val="20"/>
      <w:szCs w:val="20"/>
      <w:lang w:val="uk-UA" w:eastAsia="ru-RU"/>
    </w:rPr>
  </w:style>
  <w:style w:type="paragraph" w:styleId="34">
    <w:name w:val="Body Text Indent 3"/>
    <w:basedOn w:val="a1"/>
    <w:link w:val="35"/>
    <w:uiPriority w:val="99"/>
    <w:semiHidden/>
    <w:unhideWhenUsed/>
    <w:rsid w:val="00D120E6"/>
    <w:pPr>
      <w:suppressAutoHyphens/>
      <w:spacing w:after="120"/>
      <w:ind w:left="283"/>
    </w:pPr>
    <w:rPr>
      <w:noProof/>
      <w:sz w:val="16"/>
      <w:szCs w:val="16"/>
    </w:rPr>
  </w:style>
  <w:style w:type="character" w:customStyle="1" w:styleId="35">
    <w:name w:val="Основной текст с отступом 3 Знак"/>
    <w:basedOn w:val="a2"/>
    <w:link w:val="34"/>
    <w:uiPriority w:val="99"/>
    <w:semiHidden/>
    <w:rsid w:val="00D120E6"/>
    <w:rPr>
      <w:rFonts w:ascii="Times New Roman" w:eastAsia="Times New Roman" w:hAnsi="Times New Roman" w:cs="Times New Roman"/>
      <w:noProof/>
      <w:sz w:val="16"/>
      <w:szCs w:val="16"/>
      <w:lang w:val="uk-UA" w:eastAsia="ru-RU"/>
    </w:rPr>
  </w:style>
  <w:style w:type="paragraph" w:styleId="afe">
    <w:name w:val="Block Text"/>
    <w:basedOn w:val="a1"/>
    <w:uiPriority w:val="99"/>
    <w:semiHidden/>
    <w:unhideWhenUsed/>
    <w:rsid w:val="00D120E6"/>
    <w:pPr>
      <w:ind w:left="-107" w:right="-25"/>
      <w:jc w:val="center"/>
    </w:pPr>
    <w:rPr>
      <w:rFonts w:ascii="Arial" w:hAnsi="Arial" w:cs="Arial"/>
      <w:b/>
      <w:bCs/>
    </w:rPr>
  </w:style>
  <w:style w:type="paragraph" w:styleId="aff">
    <w:name w:val="Document Map"/>
    <w:basedOn w:val="a1"/>
    <w:link w:val="aff0"/>
    <w:uiPriority w:val="99"/>
    <w:semiHidden/>
    <w:unhideWhenUsed/>
    <w:rsid w:val="00D120E6"/>
    <w:pPr>
      <w:shd w:val="clear" w:color="auto" w:fill="000080"/>
    </w:pPr>
    <w:rPr>
      <w:rFonts w:ascii="Tahoma" w:hAnsi="Tahoma" w:cs="Tahoma"/>
      <w:sz w:val="20"/>
      <w:szCs w:val="20"/>
    </w:rPr>
  </w:style>
  <w:style w:type="character" w:customStyle="1" w:styleId="aff0">
    <w:name w:val="Схема документа Знак"/>
    <w:basedOn w:val="a2"/>
    <w:link w:val="aff"/>
    <w:uiPriority w:val="99"/>
    <w:semiHidden/>
    <w:rsid w:val="00D120E6"/>
    <w:rPr>
      <w:rFonts w:ascii="Tahoma" w:eastAsia="Times New Roman" w:hAnsi="Tahoma" w:cs="Tahoma"/>
      <w:sz w:val="20"/>
      <w:szCs w:val="20"/>
      <w:shd w:val="clear" w:color="auto" w:fill="000080"/>
      <w:lang w:val="uk-UA" w:eastAsia="ru-RU"/>
    </w:rPr>
  </w:style>
  <w:style w:type="paragraph" w:styleId="aff1">
    <w:name w:val="Plain Text"/>
    <w:basedOn w:val="a1"/>
    <w:link w:val="aff2"/>
    <w:uiPriority w:val="99"/>
    <w:semiHidden/>
    <w:unhideWhenUsed/>
    <w:rsid w:val="00D120E6"/>
    <w:rPr>
      <w:rFonts w:ascii="Courier New" w:hAnsi="Courier New"/>
      <w:sz w:val="20"/>
      <w:szCs w:val="20"/>
      <w:lang w:eastAsia="en-US"/>
    </w:rPr>
  </w:style>
  <w:style w:type="character" w:customStyle="1" w:styleId="aff2">
    <w:name w:val="Текст Знак"/>
    <w:basedOn w:val="a2"/>
    <w:link w:val="aff1"/>
    <w:uiPriority w:val="99"/>
    <w:semiHidden/>
    <w:rsid w:val="00D120E6"/>
    <w:rPr>
      <w:rFonts w:ascii="Courier New" w:eastAsia="Times New Roman" w:hAnsi="Courier New" w:cs="Times New Roman"/>
      <w:sz w:val="20"/>
      <w:szCs w:val="20"/>
      <w:lang w:val="uk-UA"/>
    </w:rPr>
  </w:style>
  <w:style w:type="paragraph" w:styleId="aff3">
    <w:name w:val="annotation subject"/>
    <w:basedOn w:val="ac"/>
    <w:next w:val="ac"/>
    <w:link w:val="aff4"/>
    <w:uiPriority w:val="99"/>
    <w:semiHidden/>
    <w:unhideWhenUsed/>
    <w:rsid w:val="00D120E6"/>
    <w:rPr>
      <w:b/>
      <w:bCs/>
    </w:rPr>
  </w:style>
  <w:style w:type="character" w:customStyle="1" w:styleId="aff4">
    <w:name w:val="Тема примечания Знак"/>
    <w:basedOn w:val="ad"/>
    <w:link w:val="aff3"/>
    <w:uiPriority w:val="99"/>
    <w:semiHidden/>
    <w:rsid w:val="00D120E6"/>
    <w:rPr>
      <w:rFonts w:ascii="Times New Roman" w:eastAsia="Times New Roman" w:hAnsi="Times New Roman" w:cs="Times New Roman"/>
      <w:b/>
      <w:bCs/>
      <w:lang w:val="uk-UA" w:eastAsia="ru-RU"/>
    </w:rPr>
  </w:style>
  <w:style w:type="paragraph" w:styleId="aff5">
    <w:name w:val="Balloon Text"/>
    <w:basedOn w:val="a1"/>
    <w:link w:val="aff6"/>
    <w:uiPriority w:val="99"/>
    <w:semiHidden/>
    <w:unhideWhenUsed/>
    <w:rsid w:val="00D120E6"/>
    <w:rPr>
      <w:rFonts w:ascii="Tahoma" w:hAnsi="Tahoma" w:cs="Tahoma"/>
      <w:sz w:val="16"/>
      <w:szCs w:val="16"/>
    </w:rPr>
  </w:style>
  <w:style w:type="character" w:customStyle="1" w:styleId="aff6">
    <w:name w:val="Текст выноски Знак"/>
    <w:basedOn w:val="a2"/>
    <w:link w:val="aff5"/>
    <w:uiPriority w:val="99"/>
    <w:semiHidden/>
    <w:rsid w:val="00D120E6"/>
    <w:rPr>
      <w:rFonts w:ascii="Tahoma" w:eastAsia="Times New Roman" w:hAnsi="Tahoma" w:cs="Tahoma"/>
      <w:sz w:val="16"/>
      <w:szCs w:val="16"/>
      <w:lang w:val="uk-UA" w:eastAsia="ru-RU"/>
    </w:rPr>
  </w:style>
  <w:style w:type="paragraph" w:styleId="a">
    <w:name w:val="List Paragraph"/>
    <w:basedOn w:val="a1"/>
    <w:autoRedefine/>
    <w:uiPriority w:val="99"/>
    <w:qFormat/>
    <w:rsid w:val="003365F7"/>
    <w:pPr>
      <w:numPr>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76" w:lineRule="auto"/>
      <w:contextualSpacing/>
    </w:pPr>
    <w:rPr>
      <w:rFonts w:eastAsia="Calibri"/>
      <w:lang w:eastAsia="en-US"/>
    </w:rPr>
  </w:style>
  <w:style w:type="paragraph" w:styleId="aff7">
    <w:name w:val="TOC Heading"/>
    <w:basedOn w:val="1"/>
    <w:next w:val="a1"/>
    <w:uiPriority w:val="39"/>
    <w:semiHidden/>
    <w:unhideWhenUsed/>
    <w:qFormat/>
    <w:rsid w:val="00D120E6"/>
    <w:pPr>
      <w:keepLines/>
      <w:spacing w:before="480" w:after="0" w:line="276" w:lineRule="auto"/>
      <w:outlineLvl w:val="9"/>
    </w:pPr>
    <w:rPr>
      <w:rFonts w:ascii="Cambria" w:hAnsi="Cambria" w:cs="Times New Roman"/>
      <w:color w:val="365F91"/>
      <w:kern w:val="0"/>
      <w:sz w:val="28"/>
      <w:szCs w:val="28"/>
      <w:lang w:val="ru-RU" w:eastAsia="en-US"/>
    </w:rPr>
  </w:style>
  <w:style w:type="paragraph" w:customStyle="1" w:styleId="Futuris6">
    <w:name w:val="Стиль Futuris по ширине После:  6 пт Междустр.интервал:  множите..."/>
    <w:basedOn w:val="a1"/>
    <w:next w:val="af5"/>
    <w:uiPriority w:val="99"/>
    <w:rsid w:val="00D120E6"/>
    <w:pPr>
      <w:tabs>
        <w:tab w:val="num" w:pos="720"/>
        <w:tab w:val="num" w:pos="1080"/>
      </w:tabs>
      <w:spacing w:after="80" w:line="312" w:lineRule="auto"/>
      <w:ind w:left="720" w:hanging="360"/>
      <w:contextualSpacing/>
    </w:pPr>
    <w:rPr>
      <w:rFonts w:ascii="Futuris" w:hAnsi="Futuris"/>
      <w:spacing w:val="6"/>
      <w:szCs w:val="20"/>
    </w:rPr>
  </w:style>
  <w:style w:type="paragraph" w:customStyle="1" w:styleId="WW-2">
    <w:name w:val="WW-Основной текст с отступом 2"/>
    <w:basedOn w:val="a1"/>
    <w:uiPriority w:val="99"/>
    <w:rsid w:val="00D120E6"/>
    <w:pPr>
      <w:suppressAutoHyphens/>
      <w:ind w:firstLine="567"/>
    </w:pPr>
    <w:rPr>
      <w:color w:val="000000"/>
      <w:szCs w:val="20"/>
    </w:rPr>
  </w:style>
  <w:style w:type="paragraph" w:customStyle="1" w:styleId="FR2">
    <w:name w:val="FR2"/>
    <w:uiPriority w:val="99"/>
    <w:rsid w:val="00D120E6"/>
    <w:pPr>
      <w:widowControl w:val="0"/>
      <w:suppressAutoHyphens/>
      <w:spacing w:after="0" w:line="300" w:lineRule="auto"/>
      <w:ind w:firstLine="1500"/>
      <w:jc w:val="both"/>
    </w:pPr>
    <w:rPr>
      <w:rFonts w:ascii="Times New Roman" w:eastAsia="Times New Roman" w:hAnsi="Times New Roman" w:cs="Times New Roman"/>
      <w:noProof/>
      <w:sz w:val="24"/>
      <w:szCs w:val="20"/>
      <w:lang w:val="uk-UA" w:eastAsia="ru-RU"/>
    </w:rPr>
  </w:style>
  <w:style w:type="paragraph" w:customStyle="1" w:styleId="aff8">
    <w:name w:val="Îáû÷íûé.Îáû÷í"/>
    <w:uiPriority w:val="99"/>
    <w:rsid w:val="00D120E6"/>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Знак"/>
    <w:basedOn w:val="a1"/>
    <w:uiPriority w:val="99"/>
    <w:rsid w:val="00D120E6"/>
    <w:rPr>
      <w:rFonts w:ascii="Verdana" w:hAnsi="Verdana" w:cs="Verdana"/>
      <w:lang w:val="en-US" w:eastAsia="en-US"/>
    </w:rPr>
  </w:style>
  <w:style w:type="paragraph" w:customStyle="1" w:styleId="12">
    <w:name w:val="çàãîëîâîê 1"/>
    <w:basedOn w:val="a1"/>
    <w:next w:val="a1"/>
    <w:uiPriority w:val="99"/>
    <w:rsid w:val="00D120E6"/>
    <w:pPr>
      <w:keepNext/>
      <w:spacing w:before="240" w:after="60" w:line="280" w:lineRule="exact"/>
    </w:pPr>
    <w:rPr>
      <w:b/>
      <w:kern w:val="28"/>
      <w:szCs w:val="20"/>
    </w:rPr>
  </w:style>
  <w:style w:type="paragraph" w:customStyle="1" w:styleId="28">
    <w:name w:val="çàãîëîâîê 2"/>
    <w:basedOn w:val="a1"/>
    <w:next w:val="a1"/>
    <w:uiPriority w:val="99"/>
    <w:rsid w:val="00D120E6"/>
    <w:pPr>
      <w:keepNext/>
      <w:spacing w:before="240" w:after="60" w:line="280" w:lineRule="exact"/>
    </w:pPr>
    <w:rPr>
      <w:b/>
      <w:i/>
      <w:szCs w:val="20"/>
    </w:rPr>
  </w:style>
  <w:style w:type="paragraph" w:customStyle="1" w:styleId="36">
    <w:name w:val="çàãîëîâîê 3"/>
    <w:basedOn w:val="a1"/>
    <w:next w:val="a1"/>
    <w:uiPriority w:val="99"/>
    <w:rsid w:val="00D120E6"/>
    <w:pPr>
      <w:keepNext/>
      <w:spacing w:before="20" w:line="280" w:lineRule="exact"/>
      <w:jc w:val="center"/>
    </w:pPr>
    <w:rPr>
      <w:szCs w:val="20"/>
    </w:rPr>
  </w:style>
  <w:style w:type="paragraph" w:customStyle="1" w:styleId="42">
    <w:name w:val="çàãîëîâîê 4"/>
    <w:basedOn w:val="a1"/>
    <w:next w:val="a1"/>
    <w:uiPriority w:val="99"/>
    <w:rsid w:val="00D120E6"/>
    <w:pPr>
      <w:keepNext/>
      <w:spacing w:before="40" w:line="280" w:lineRule="exact"/>
    </w:pPr>
    <w:rPr>
      <w:szCs w:val="20"/>
    </w:rPr>
  </w:style>
  <w:style w:type="paragraph" w:customStyle="1" w:styleId="52">
    <w:name w:val="çàãîëîâîê 5"/>
    <w:basedOn w:val="a1"/>
    <w:next w:val="a1"/>
    <w:uiPriority w:val="99"/>
    <w:rsid w:val="00D120E6"/>
    <w:pPr>
      <w:keepNext/>
      <w:spacing w:before="40" w:line="280" w:lineRule="exact"/>
      <w:jc w:val="center"/>
    </w:pPr>
    <w:rPr>
      <w:szCs w:val="20"/>
    </w:rPr>
  </w:style>
  <w:style w:type="paragraph" w:customStyle="1" w:styleId="62">
    <w:name w:val="çàãîëîâîê 6"/>
    <w:basedOn w:val="a1"/>
    <w:next w:val="a1"/>
    <w:uiPriority w:val="99"/>
    <w:rsid w:val="00D120E6"/>
    <w:pPr>
      <w:spacing w:before="240" w:after="60" w:line="280" w:lineRule="exact"/>
    </w:pPr>
    <w:rPr>
      <w:i/>
      <w:sz w:val="22"/>
      <w:szCs w:val="20"/>
    </w:rPr>
  </w:style>
  <w:style w:type="paragraph" w:customStyle="1" w:styleId="72">
    <w:name w:val="çàãîëîâîê 7"/>
    <w:basedOn w:val="a1"/>
    <w:next w:val="a1"/>
    <w:uiPriority w:val="99"/>
    <w:rsid w:val="00D120E6"/>
    <w:pPr>
      <w:spacing w:before="240" w:after="60" w:line="280" w:lineRule="exact"/>
    </w:pPr>
    <w:rPr>
      <w:rFonts w:ascii="Arial" w:hAnsi="Arial"/>
      <w:sz w:val="22"/>
      <w:szCs w:val="20"/>
    </w:rPr>
  </w:style>
  <w:style w:type="paragraph" w:customStyle="1" w:styleId="82">
    <w:name w:val="çàãîëîâîê 8"/>
    <w:basedOn w:val="a1"/>
    <w:next w:val="a1"/>
    <w:uiPriority w:val="99"/>
    <w:rsid w:val="00D120E6"/>
    <w:pPr>
      <w:spacing w:before="240" w:after="60" w:line="280" w:lineRule="exact"/>
    </w:pPr>
    <w:rPr>
      <w:rFonts w:ascii="Arial" w:hAnsi="Arial"/>
      <w:i/>
      <w:sz w:val="22"/>
      <w:szCs w:val="20"/>
    </w:rPr>
  </w:style>
  <w:style w:type="paragraph" w:customStyle="1" w:styleId="92">
    <w:name w:val="çàãîëîâîê 9"/>
    <w:basedOn w:val="a1"/>
    <w:next w:val="a1"/>
    <w:uiPriority w:val="99"/>
    <w:rsid w:val="00D120E6"/>
    <w:pPr>
      <w:spacing w:before="240" w:after="60" w:line="280" w:lineRule="exact"/>
    </w:pPr>
    <w:rPr>
      <w:rFonts w:ascii="Arial" w:hAnsi="Arial"/>
      <w:b/>
      <w:i/>
      <w:sz w:val="18"/>
      <w:szCs w:val="20"/>
    </w:rPr>
  </w:style>
  <w:style w:type="paragraph" w:customStyle="1" w:styleId="affa">
    <w:name w:val="òåêñò ïðèìå÷àíèÿ"/>
    <w:basedOn w:val="a1"/>
    <w:uiPriority w:val="99"/>
    <w:rsid w:val="00D120E6"/>
    <w:pPr>
      <w:spacing w:before="40" w:line="280" w:lineRule="exact"/>
    </w:pPr>
    <w:rPr>
      <w:sz w:val="22"/>
      <w:szCs w:val="20"/>
    </w:rPr>
  </w:style>
  <w:style w:type="paragraph" w:customStyle="1" w:styleId="affb">
    <w:name w:val="àäðåñ"/>
    <w:basedOn w:val="a1"/>
    <w:uiPriority w:val="99"/>
    <w:rsid w:val="00D120E6"/>
    <w:pPr>
      <w:framePr w:w="7920" w:h="1980" w:hSpace="180" w:wrap="auto" w:hAnchor="page" w:xAlign="center" w:yAlign="bottom"/>
      <w:spacing w:before="40" w:line="280" w:lineRule="exact"/>
      <w:ind w:left="2880"/>
    </w:pPr>
    <w:rPr>
      <w:szCs w:val="20"/>
    </w:rPr>
  </w:style>
  <w:style w:type="paragraph" w:customStyle="1" w:styleId="13">
    <w:name w:val="îãëàâëåíèå 1"/>
    <w:basedOn w:val="a1"/>
    <w:next w:val="a1"/>
    <w:uiPriority w:val="99"/>
    <w:rsid w:val="00D120E6"/>
    <w:pPr>
      <w:tabs>
        <w:tab w:val="right" w:leader="dot" w:pos="9921"/>
      </w:tabs>
      <w:spacing w:before="120" w:after="120" w:line="280" w:lineRule="exact"/>
    </w:pPr>
    <w:rPr>
      <w:caps/>
      <w:sz w:val="22"/>
      <w:szCs w:val="20"/>
    </w:rPr>
  </w:style>
  <w:style w:type="paragraph" w:customStyle="1" w:styleId="29">
    <w:name w:val="îãëàâëåíèå 2"/>
    <w:basedOn w:val="a1"/>
    <w:next w:val="a1"/>
    <w:uiPriority w:val="99"/>
    <w:rsid w:val="00D120E6"/>
    <w:pPr>
      <w:tabs>
        <w:tab w:val="right" w:leader="dot" w:pos="9921"/>
      </w:tabs>
      <w:spacing w:before="40" w:line="280" w:lineRule="exact"/>
      <w:ind w:left="200"/>
    </w:pPr>
    <w:rPr>
      <w:sz w:val="22"/>
      <w:szCs w:val="20"/>
    </w:rPr>
  </w:style>
  <w:style w:type="paragraph" w:customStyle="1" w:styleId="37">
    <w:name w:val="îãëàâëåíèå 3"/>
    <w:basedOn w:val="a1"/>
    <w:next w:val="a1"/>
    <w:uiPriority w:val="99"/>
    <w:rsid w:val="00D120E6"/>
    <w:pPr>
      <w:tabs>
        <w:tab w:val="right" w:leader="dot" w:pos="9921"/>
      </w:tabs>
      <w:spacing w:before="40" w:line="280" w:lineRule="exact"/>
      <w:ind w:left="400"/>
    </w:pPr>
    <w:rPr>
      <w:i/>
      <w:sz w:val="22"/>
      <w:szCs w:val="20"/>
    </w:rPr>
  </w:style>
  <w:style w:type="paragraph" w:customStyle="1" w:styleId="43">
    <w:name w:val="îãëàâëåíèå 4"/>
    <w:basedOn w:val="a1"/>
    <w:next w:val="a1"/>
    <w:uiPriority w:val="99"/>
    <w:rsid w:val="00D120E6"/>
    <w:pPr>
      <w:tabs>
        <w:tab w:val="right" w:leader="dot" w:pos="9921"/>
      </w:tabs>
      <w:spacing w:before="40" w:line="280" w:lineRule="exact"/>
      <w:ind w:left="600"/>
    </w:pPr>
    <w:rPr>
      <w:sz w:val="18"/>
      <w:szCs w:val="20"/>
    </w:rPr>
  </w:style>
  <w:style w:type="paragraph" w:customStyle="1" w:styleId="53">
    <w:name w:val="îãëàâëåíèå 5"/>
    <w:basedOn w:val="a1"/>
    <w:next w:val="a1"/>
    <w:uiPriority w:val="99"/>
    <w:rsid w:val="00D120E6"/>
    <w:pPr>
      <w:tabs>
        <w:tab w:val="right" w:leader="dot" w:pos="9921"/>
      </w:tabs>
      <w:spacing w:before="40" w:line="280" w:lineRule="exact"/>
      <w:ind w:left="800"/>
    </w:pPr>
    <w:rPr>
      <w:sz w:val="18"/>
      <w:szCs w:val="20"/>
    </w:rPr>
  </w:style>
  <w:style w:type="paragraph" w:customStyle="1" w:styleId="63">
    <w:name w:val="îãëàâëåíèå 6"/>
    <w:basedOn w:val="a1"/>
    <w:next w:val="a1"/>
    <w:uiPriority w:val="99"/>
    <w:rsid w:val="00D120E6"/>
    <w:pPr>
      <w:tabs>
        <w:tab w:val="right" w:leader="dot" w:pos="9921"/>
      </w:tabs>
      <w:spacing w:before="40" w:line="280" w:lineRule="exact"/>
      <w:ind w:left="1000"/>
    </w:pPr>
    <w:rPr>
      <w:sz w:val="18"/>
      <w:szCs w:val="20"/>
    </w:rPr>
  </w:style>
  <w:style w:type="paragraph" w:customStyle="1" w:styleId="73">
    <w:name w:val="îãëàâëåíèå 7"/>
    <w:basedOn w:val="a1"/>
    <w:next w:val="a1"/>
    <w:uiPriority w:val="99"/>
    <w:rsid w:val="00D120E6"/>
    <w:pPr>
      <w:tabs>
        <w:tab w:val="right" w:leader="dot" w:pos="9921"/>
      </w:tabs>
      <w:spacing w:before="40" w:line="280" w:lineRule="exact"/>
      <w:ind w:left="1200"/>
    </w:pPr>
    <w:rPr>
      <w:sz w:val="18"/>
      <w:szCs w:val="20"/>
    </w:rPr>
  </w:style>
  <w:style w:type="paragraph" w:customStyle="1" w:styleId="83">
    <w:name w:val="îãëàâëåíèå 8"/>
    <w:basedOn w:val="a1"/>
    <w:next w:val="a1"/>
    <w:uiPriority w:val="99"/>
    <w:rsid w:val="00D120E6"/>
    <w:pPr>
      <w:tabs>
        <w:tab w:val="right" w:leader="dot" w:pos="9921"/>
      </w:tabs>
      <w:spacing w:before="40" w:line="280" w:lineRule="exact"/>
      <w:ind w:left="1400"/>
    </w:pPr>
    <w:rPr>
      <w:sz w:val="18"/>
      <w:szCs w:val="20"/>
    </w:rPr>
  </w:style>
  <w:style w:type="paragraph" w:customStyle="1" w:styleId="93">
    <w:name w:val="îãëàâëåíèå 9"/>
    <w:basedOn w:val="a1"/>
    <w:next w:val="a1"/>
    <w:uiPriority w:val="99"/>
    <w:rsid w:val="00D120E6"/>
    <w:pPr>
      <w:tabs>
        <w:tab w:val="right" w:leader="dot" w:pos="9921"/>
      </w:tabs>
      <w:spacing w:before="40" w:line="280" w:lineRule="exact"/>
      <w:ind w:left="1600"/>
    </w:pPr>
    <w:rPr>
      <w:sz w:val="18"/>
      <w:szCs w:val="20"/>
    </w:rPr>
  </w:style>
  <w:style w:type="paragraph" w:customStyle="1" w:styleId="affc">
    <w:name w:val="òåêñò ñíîñêè"/>
    <w:basedOn w:val="a1"/>
    <w:uiPriority w:val="99"/>
    <w:rsid w:val="00D120E6"/>
    <w:pPr>
      <w:spacing w:before="40" w:line="280" w:lineRule="exact"/>
    </w:pPr>
    <w:rPr>
      <w:rFonts w:ascii="Garamond" w:hAnsi="Garamond"/>
      <w:sz w:val="18"/>
      <w:szCs w:val="20"/>
    </w:rPr>
  </w:style>
  <w:style w:type="paragraph" w:customStyle="1" w:styleId="14">
    <w:name w:val="Текст1"/>
    <w:basedOn w:val="a1"/>
    <w:uiPriority w:val="99"/>
    <w:rsid w:val="00D120E6"/>
    <w:pPr>
      <w:spacing w:before="40" w:line="280" w:lineRule="exact"/>
    </w:pPr>
    <w:rPr>
      <w:rFonts w:ascii="Courier New" w:hAnsi="Courier New"/>
      <w:sz w:val="20"/>
      <w:szCs w:val="20"/>
    </w:rPr>
  </w:style>
  <w:style w:type="paragraph" w:customStyle="1" w:styleId="affd">
    <w:name w:val="Таблица"/>
    <w:basedOn w:val="a1"/>
    <w:uiPriority w:val="99"/>
    <w:rsid w:val="00D120E6"/>
    <w:pPr>
      <w:numPr>
        <w:ilvl w:val="12"/>
      </w:numPr>
      <w:spacing w:before="20" w:after="20"/>
    </w:pPr>
    <w:rPr>
      <w:rFonts w:ascii="Times New Roman CYR" w:hAnsi="Times New Roman CYR"/>
      <w:sz w:val="20"/>
      <w:szCs w:val="20"/>
    </w:rPr>
  </w:style>
  <w:style w:type="paragraph" w:customStyle="1" w:styleId="xl24">
    <w:name w:val="xl24"/>
    <w:basedOn w:val="a1"/>
    <w:uiPriority w:val="99"/>
    <w:rsid w:val="00D120E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1"/>
    <w:uiPriority w:val="99"/>
    <w:rsid w:val="00D120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15">
    <w:name w:val="Основной текст1"/>
    <w:basedOn w:val="a1"/>
    <w:uiPriority w:val="99"/>
    <w:rsid w:val="00D120E6"/>
    <w:rPr>
      <w:sz w:val="28"/>
      <w:szCs w:val="20"/>
    </w:rPr>
  </w:style>
  <w:style w:type="paragraph" w:customStyle="1" w:styleId="16">
    <w:name w:val="Обычный1"/>
    <w:uiPriority w:val="99"/>
    <w:rsid w:val="00D120E6"/>
    <w:pPr>
      <w:spacing w:after="0" w:line="240" w:lineRule="auto"/>
    </w:pPr>
    <w:rPr>
      <w:rFonts w:ascii="Times New Roman" w:eastAsia="Times New Roman" w:hAnsi="Times New Roman" w:cs="Times New Roman"/>
      <w:sz w:val="20"/>
      <w:szCs w:val="20"/>
      <w:lang w:eastAsia="ru-RU"/>
    </w:rPr>
  </w:style>
  <w:style w:type="paragraph" w:customStyle="1" w:styleId="210">
    <w:name w:val="заголовок 21"/>
    <w:basedOn w:val="a1"/>
    <w:next w:val="a1"/>
    <w:uiPriority w:val="99"/>
    <w:rsid w:val="00D120E6"/>
    <w:pPr>
      <w:keepNext/>
      <w:keepLines/>
      <w:widowControl w:val="0"/>
      <w:tabs>
        <w:tab w:val="left" w:pos="2508"/>
      </w:tabs>
      <w:spacing w:before="240" w:after="120"/>
    </w:pPr>
    <w:rPr>
      <w:b/>
      <w:i/>
      <w:szCs w:val="20"/>
    </w:rPr>
  </w:style>
  <w:style w:type="paragraph" w:customStyle="1" w:styleId="17">
    <w:name w:val="Стиль1"/>
    <w:basedOn w:val="1"/>
    <w:next w:val="1"/>
    <w:uiPriority w:val="99"/>
    <w:rsid w:val="00D120E6"/>
    <w:pPr>
      <w:pageBreakBefore/>
      <w:jc w:val="center"/>
    </w:pPr>
    <w:rPr>
      <w:rFonts w:ascii="Times New Roman" w:hAnsi="Times New Roman" w:cs="Times New Roman"/>
      <w:b w:val="0"/>
      <w:kern w:val="28"/>
      <w:sz w:val="28"/>
      <w:szCs w:val="20"/>
    </w:rPr>
  </w:style>
  <w:style w:type="paragraph" w:customStyle="1" w:styleId="2a">
    <w:name w:val="заголовок 2"/>
    <w:basedOn w:val="a1"/>
    <w:next w:val="a1"/>
    <w:uiPriority w:val="99"/>
    <w:rsid w:val="00D120E6"/>
    <w:pPr>
      <w:keepNext/>
      <w:autoSpaceDE w:val="0"/>
      <w:autoSpaceDN w:val="0"/>
      <w:jc w:val="center"/>
      <w:outlineLvl w:val="1"/>
    </w:pPr>
    <w:rPr>
      <w:b/>
      <w:bCs/>
    </w:rPr>
  </w:style>
  <w:style w:type="paragraph" w:customStyle="1" w:styleId="xl44">
    <w:name w:val="xl44"/>
    <w:basedOn w:val="a1"/>
    <w:uiPriority w:val="99"/>
    <w:rsid w:val="00D120E6"/>
    <w:pPr>
      <w:pBdr>
        <w:left w:val="single" w:sz="4" w:space="0" w:color="auto"/>
        <w:bottom w:val="single" w:sz="4" w:space="0" w:color="auto"/>
        <w:right w:val="single" w:sz="4" w:space="0" w:color="auto"/>
      </w:pBdr>
      <w:spacing w:before="100" w:beforeAutospacing="1" w:after="100" w:afterAutospacing="1"/>
    </w:pPr>
  </w:style>
  <w:style w:type="paragraph" w:customStyle="1" w:styleId="18">
    <w:name w:val="Основной текст с отступом1"/>
    <w:basedOn w:val="a1"/>
    <w:uiPriority w:val="99"/>
    <w:rsid w:val="00D120E6"/>
    <w:pPr>
      <w:tabs>
        <w:tab w:val="left" w:pos="1134"/>
      </w:tabs>
      <w:spacing w:before="40"/>
      <w:ind w:firstLine="567"/>
    </w:pPr>
    <w:rPr>
      <w:i/>
      <w:iCs/>
      <w:sz w:val="28"/>
      <w:szCs w:val="28"/>
    </w:rPr>
  </w:style>
  <w:style w:type="paragraph" w:customStyle="1" w:styleId="101524">
    <w:name w:val="Стиль Оглавление 1 + Слева:  0 см Выступ:  1.5 см Перед:  2.4 пт..."/>
    <w:basedOn w:val="11"/>
    <w:uiPriority w:val="99"/>
    <w:rsid w:val="00D120E6"/>
    <w:pPr>
      <w:tabs>
        <w:tab w:val="left" w:pos="851"/>
        <w:tab w:val="right" w:leader="dot" w:pos="9072"/>
      </w:tabs>
      <w:spacing w:before="48" w:line="240" w:lineRule="auto"/>
      <w:ind w:left="851" w:rightChars="1418" w:right="742" w:hanging="851"/>
      <w:jc w:val="left"/>
    </w:pPr>
    <w:rPr>
      <w:b/>
      <w:bCs/>
      <w:caps/>
      <w:szCs w:val="22"/>
    </w:rPr>
  </w:style>
  <w:style w:type="paragraph" w:customStyle="1" w:styleId="affe">
    <w:name w:val="Îáû÷íûé"/>
    <w:uiPriority w:val="99"/>
    <w:rsid w:val="00D120E6"/>
    <w:pPr>
      <w:spacing w:after="0" w:line="240" w:lineRule="auto"/>
    </w:pPr>
    <w:rPr>
      <w:rFonts w:ascii="Arial" w:eastAsia="Times New Roman" w:hAnsi="Arial" w:cs="Times New Roman"/>
      <w:sz w:val="24"/>
      <w:szCs w:val="20"/>
      <w:lang w:val="uk-UA" w:eastAsia="ru-RU"/>
    </w:rPr>
  </w:style>
  <w:style w:type="paragraph" w:customStyle="1" w:styleId="2b">
    <w:name w:val="Обычный2"/>
    <w:basedOn w:val="a1"/>
    <w:uiPriority w:val="99"/>
    <w:rsid w:val="00D120E6"/>
    <w:pPr>
      <w:spacing w:before="100" w:beforeAutospacing="1" w:after="100" w:afterAutospacing="1"/>
    </w:pPr>
  </w:style>
  <w:style w:type="paragraph" w:customStyle="1" w:styleId="afff">
    <w:name w:val="ДинТекстОбыч"/>
    <w:basedOn w:val="a1"/>
    <w:uiPriority w:val="99"/>
    <w:rsid w:val="00D120E6"/>
    <w:pPr>
      <w:widowControl w:val="0"/>
      <w:ind w:firstLine="567"/>
    </w:pPr>
    <w:rPr>
      <w:color w:val="000000"/>
      <w:sz w:val="22"/>
      <w:szCs w:val="20"/>
    </w:rPr>
  </w:style>
  <w:style w:type="paragraph" w:customStyle="1" w:styleId="WW-3">
    <w:name w:val="WW-Основной текст 3"/>
    <w:basedOn w:val="a1"/>
    <w:uiPriority w:val="99"/>
    <w:rsid w:val="00D120E6"/>
    <w:pPr>
      <w:suppressAutoHyphens/>
    </w:pPr>
    <w:rPr>
      <w:lang w:eastAsia="ar-SA"/>
    </w:rPr>
  </w:style>
  <w:style w:type="paragraph" w:customStyle="1" w:styleId="preambule0">
    <w:name w:val="preambule0"/>
    <w:basedOn w:val="a1"/>
    <w:uiPriority w:val="99"/>
    <w:rsid w:val="00D120E6"/>
    <w:pPr>
      <w:spacing w:before="120"/>
      <w:ind w:firstLine="720"/>
    </w:pPr>
    <w:rPr>
      <w:rFonts w:ascii="Futuris" w:hAnsi="Futuris"/>
    </w:rPr>
  </w:style>
  <w:style w:type="paragraph" w:customStyle="1" w:styleId="iniiaiieoaeno">
    <w:name w:val="iniiaiieoaeno"/>
    <w:basedOn w:val="a1"/>
    <w:uiPriority w:val="99"/>
    <w:rsid w:val="00D120E6"/>
    <w:pPr>
      <w:autoSpaceDE w:val="0"/>
      <w:autoSpaceDN w:val="0"/>
      <w:spacing w:after="120"/>
    </w:pPr>
  </w:style>
  <w:style w:type="paragraph" w:customStyle="1" w:styleId="iauiue">
    <w:name w:val="iauiue"/>
    <w:basedOn w:val="a1"/>
    <w:uiPriority w:val="99"/>
    <w:rsid w:val="00D120E6"/>
    <w:pPr>
      <w:autoSpaceDE w:val="0"/>
      <w:autoSpaceDN w:val="0"/>
    </w:pPr>
  </w:style>
  <w:style w:type="paragraph" w:customStyle="1" w:styleId="abc-paragrahinnotes">
    <w:name w:val="abc-paragrahinnotes"/>
    <w:basedOn w:val="a1"/>
    <w:uiPriority w:val="99"/>
    <w:rsid w:val="00D120E6"/>
    <w:pPr>
      <w:spacing w:after="240"/>
    </w:pPr>
    <w:rPr>
      <w:rFonts w:ascii="Arial" w:hAnsi="Arial" w:cs="Arial"/>
      <w:sz w:val="18"/>
      <w:szCs w:val="18"/>
    </w:rPr>
  </w:style>
  <w:style w:type="paragraph" w:customStyle="1" w:styleId="100">
    <w:name w:val="10"/>
    <w:basedOn w:val="a1"/>
    <w:uiPriority w:val="99"/>
    <w:rsid w:val="00D120E6"/>
    <w:pPr>
      <w:keepNext/>
      <w:autoSpaceDE w:val="0"/>
      <w:autoSpaceDN w:val="0"/>
      <w:jc w:val="center"/>
    </w:pPr>
    <w:rPr>
      <w:rFonts w:ascii="Arial" w:hAnsi="Arial" w:cs="Arial"/>
    </w:rPr>
  </w:style>
  <w:style w:type="paragraph" w:customStyle="1" w:styleId="2c">
    <w:name w:val="2"/>
    <w:basedOn w:val="a1"/>
    <w:uiPriority w:val="99"/>
    <w:rsid w:val="00D120E6"/>
    <w:pPr>
      <w:keepNext/>
      <w:autoSpaceDE w:val="0"/>
      <w:autoSpaceDN w:val="0"/>
      <w:jc w:val="center"/>
    </w:pPr>
    <w:rPr>
      <w:rFonts w:ascii="Arial" w:hAnsi="Arial" w:cs="Arial"/>
      <w:b/>
      <w:bCs/>
      <w:sz w:val="28"/>
      <w:szCs w:val="28"/>
    </w:rPr>
  </w:style>
  <w:style w:type="paragraph" w:customStyle="1" w:styleId="plaintext">
    <w:name w:val="plaintext"/>
    <w:basedOn w:val="a1"/>
    <w:uiPriority w:val="99"/>
    <w:rsid w:val="00D120E6"/>
    <w:rPr>
      <w:rFonts w:ascii="Courier New" w:hAnsi="Courier New" w:cs="Courier New"/>
      <w:sz w:val="20"/>
      <w:szCs w:val="20"/>
    </w:rPr>
  </w:style>
  <w:style w:type="paragraph" w:customStyle="1" w:styleId="bodytextindent21">
    <w:name w:val="bodytextindent21"/>
    <w:basedOn w:val="a1"/>
    <w:uiPriority w:val="99"/>
    <w:rsid w:val="00D120E6"/>
    <w:pPr>
      <w:numPr>
        <w:ilvl w:val="12"/>
      </w:numPr>
      <w:autoSpaceDE w:val="0"/>
      <w:autoSpaceDN w:val="0"/>
      <w:ind w:firstLine="720"/>
    </w:pPr>
    <w:rPr>
      <w:rFonts w:ascii="Arial" w:hAnsi="Arial" w:cs="Arial"/>
    </w:rPr>
  </w:style>
  <w:style w:type="paragraph" w:customStyle="1" w:styleId="style4">
    <w:name w:val="style4"/>
    <w:basedOn w:val="a1"/>
    <w:uiPriority w:val="99"/>
    <w:rsid w:val="00D120E6"/>
    <w:pPr>
      <w:autoSpaceDE w:val="0"/>
      <w:autoSpaceDN w:val="0"/>
    </w:pPr>
  </w:style>
  <w:style w:type="paragraph" w:customStyle="1" w:styleId="style8">
    <w:name w:val="style8"/>
    <w:basedOn w:val="a1"/>
    <w:uiPriority w:val="99"/>
    <w:rsid w:val="00D120E6"/>
    <w:pPr>
      <w:autoSpaceDE w:val="0"/>
      <w:autoSpaceDN w:val="0"/>
      <w:jc w:val="center"/>
    </w:pPr>
  </w:style>
  <w:style w:type="paragraph" w:customStyle="1" w:styleId="abc-r-paragraphinnotes">
    <w:name w:val="abc-r-paragraphinnotes"/>
    <w:basedOn w:val="a1"/>
    <w:uiPriority w:val="99"/>
    <w:rsid w:val="00D120E6"/>
    <w:pPr>
      <w:spacing w:after="240"/>
    </w:pPr>
    <w:rPr>
      <w:rFonts w:ascii="Arial" w:hAnsi="Arial" w:cs="Arial"/>
      <w:sz w:val="18"/>
      <w:szCs w:val="18"/>
    </w:rPr>
  </w:style>
  <w:style w:type="paragraph" w:customStyle="1" w:styleId="a10">
    <w:name w:val="a1"/>
    <w:basedOn w:val="a1"/>
    <w:uiPriority w:val="99"/>
    <w:rsid w:val="00D120E6"/>
    <w:rPr>
      <w:rFonts w:ascii="Verdana" w:hAnsi="Verdana"/>
      <w:sz w:val="20"/>
      <w:szCs w:val="20"/>
    </w:rPr>
  </w:style>
  <w:style w:type="paragraph" w:customStyle="1" w:styleId="style1">
    <w:name w:val="style1"/>
    <w:basedOn w:val="a1"/>
    <w:uiPriority w:val="99"/>
    <w:rsid w:val="00D120E6"/>
    <w:pPr>
      <w:autoSpaceDE w:val="0"/>
      <w:autoSpaceDN w:val="0"/>
      <w:spacing w:line="326" w:lineRule="atLeast"/>
      <w:ind w:firstLine="576"/>
    </w:pPr>
  </w:style>
  <w:style w:type="paragraph" w:customStyle="1" w:styleId="style40">
    <w:name w:val="style40"/>
    <w:basedOn w:val="a1"/>
    <w:uiPriority w:val="99"/>
    <w:rsid w:val="00D120E6"/>
    <w:pPr>
      <w:autoSpaceDE w:val="0"/>
      <w:autoSpaceDN w:val="0"/>
      <w:spacing w:line="326" w:lineRule="atLeast"/>
      <w:ind w:firstLine="278"/>
    </w:pPr>
  </w:style>
  <w:style w:type="paragraph" w:customStyle="1" w:styleId="110">
    <w:name w:val="11"/>
    <w:basedOn w:val="a1"/>
    <w:uiPriority w:val="99"/>
    <w:rsid w:val="00D120E6"/>
    <w:rPr>
      <w:rFonts w:ascii="Verdana" w:hAnsi="Verdana"/>
      <w:sz w:val="20"/>
      <w:szCs w:val="20"/>
    </w:rPr>
  </w:style>
  <w:style w:type="paragraph" w:customStyle="1" w:styleId="2d">
    <w:name w:val="Основной текст2"/>
    <w:basedOn w:val="a1"/>
    <w:uiPriority w:val="99"/>
    <w:rsid w:val="00D120E6"/>
    <w:pPr>
      <w:widowControl w:val="0"/>
    </w:pPr>
    <w:rPr>
      <w:sz w:val="20"/>
      <w:szCs w:val="20"/>
    </w:rPr>
  </w:style>
  <w:style w:type="paragraph" w:customStyle="1" w:styleId="afff0">
    <w:name w:val="Знак Знак"/>
    <w:basedOn w:val="a1"/>
    <w:uiPriority w:val="99"/>
    <w:rsid w:val="00D120E6"/>
    <w:rPr>
      <w:rFonts w:ascii="Verdana" w:hAnsi="Verdana" w:cs="Verdana"/>
      <w:lang w:val="en-US" w:eastAsia="en-US"/>
    </w:rPr>
  </w:style>
  <w:style w:type="paragraph" w:customStyle="1" w:styleId="Default">
    <w:name w:val="Default"/>
    <w:uiPriority w:val="99"/>
    <w:rsid w:val="00D120E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1">
    <w:name w:val="Body Text1"/>
    <w:basedOn w:val="a1"/>
    <w:uiPriority w:val="99"/>
    <w:rsid w:val="00D120E6"/>
    <w:rPr>
      <w:sz w:val="28"/>
      <w:szCs w:val="20"/>
    </w:rPr>
  </w:style>
  <w:style w:type="paragraph" w:customStyle="1" w:styleId="afff1">
    <w:name w:val="Знак Знак Знак Знак Знак Знак Знак"/>
    <w:basedOn w:val="a1"/>
    <w:uiPriority w:val="99"/>
    <w:rsid w:val="00D120E6"/>
    <w:pPr>
      <w:spacing w:before="60" w:line="240" w:lineRule="exact"/>
    </w:pPr>
    <w:rPr>
      <w:rFonts w:ascii="Verdana" w:hAnsi="Verdana" w:cs="Verdana"/>
      <w:sz w:val="20"/>
      <w:szCs w:val="20"/>
      <w:lang w:val="en-US" w:eastAsia="en-US"/>
    </w:rPr>
  </w:style>
  <w:style w:type="paragraph" w:customStyle="1" w:styleId="afff2">
    <w:name w:val="Основной текст (откр.)"/>
    <w:basedOn w:val="a1"/>
    <w:next w:val="a1"/>
    <w:uiPriority w:val="99"/>
    <w:rsid w:val="00D120E6"/>
    <w:pPr>
      <w:keepNext/>
      <w:spacing w:before="480" w:after="240" w:line="264" w:lineRule="auto"/>
      <w:ind w:left="1134"/>
    </w:pPr>
    <w:rPr>
      <w:color w:val="000000"/>
      <w:sz w:val="22"/>
      <w:lang w:eastAsia="uk-UA"/>
    </w:rPr>
  </w:style>
  <w:style w:type="paragraph" w:customStyle="1" w:styleId="-">
    <w:name w:val="Таблица - текст"/>
    <w:basedOn w:val="a1"/>
    <w:uiPriority w:val="99"/>
    <w:rsid w:val="00D120E6"/>
    <w:rPr>
      <w:rFonts w:ascii="Arial Narrow" w:hAnsi="Arial Narrow"/>
      <w:color w:val="000000"/>
      <w:sz w:val="16"/>
      <w:lang w:eastAsia="uk-UA"/>
    </w:rPr>
  </w:style>
  <w:style w:type="paragraph" w:customStyle="1" w:styleId="-0">
    <w:name w:val="Таблица - цифры"/>
    <w:basedOn w:val="-"/>
    <w:uiPriority w:val="99"/>
    <w:rsid w:val="00D120E6"/>
    <w:pPr>
      <w:keepLines/>
      <w:jc w:val="right"/>
    </w:pPr>
  </w:style>
  <w:style w:type="paragraph" w:customStyle="1" w:styleId="19">
    <w:name w:val="Абзац списка1"/>
    <w:basedOn w:val="a1"/>
    <w:uiPriority w:val="99"/>
    <w:rsid w:val="00D120E6"/>
    <w:pPr>
      <w:spacing w:after="200" w:line="276" w:lineRule="auto"/>
      <w:ind w:left="720"/>
      <w:contextualSpacing/>
    </w:pPr>
    <w:rPr>
      <w:rFonts w:ascii="Calibri" w:hAnsi="Calibri"/>
      <w:sz w:val="22"/>
      <w:szCs w:val="22"/>
      <w:lang w:eastAsia="en-US"/>
    </w:rPr>
  </w:style>
  <w:style w:type="character" w:customStyle="1" w:styleId="1a">
    <w:name w:val="Стиль Заголовок 1 + не все прописные Знак"/>
    <w:link w:val="1b"/>
    <w:locked/>
    <w:rsid w:val="00D120E6"/>
    <w:rPr>
      <w:rFonts w:ascii="Arial" w:hAnsi="Arial" w:cs="Arial"/>
      <w:b/>
      <w:bCs/>
      <w:caps/>
      <w:kern w:val="32"/>
      <w:sz w:val="28"/>
      <w:szCs w:val="32"/>
      <w:lang w:val="en-US"/>
    </w:rPr>
  </w:style>
  <w:style w:type="paragraph" w:customStyle="1" w:styleId="1b">
    <w:name w:val="Стиль Заголовок 1 + не все прописные"/>
    <w:basedOn w:val="1"/>
    <w:link w:val="1a"/>
    <w:rsid w:val="00D120E6"/>
    <w:pPr>
      <w:spacing w:line="280" w:lineRule="exact"/>
    </w:pPr>
    <w:rPr>
      <w:rFonts w:eastAsiaTheme="minorHAnsi"/>
      <w:caps/>
      <w:sz w:val="28"/>
      <w:lang w:val="en-US" w:eastAsia="en-US"/>
    </w:rPr>
  </w:style>
  <w:style w:type="paragraph" w:customStyle="1" w:styleId="xl27">
    <w:name w:val="xl27"/>
    <w:basedOn w:val="a1"/>
    <w:uiPriority w:val="99"/>
    <w:rsid w:val="00D120E6"/>
    <w:pPr>
      <w:pBdr>
        <w:left w:val="single" w:sz="4" w:space="0" w:color="auto"/>
        <w:bottom w:val="single" w:sz="4" w:space="0" w:color="auto"/>
        <w:right w:val="single" w:sz="4" w:space="0" w:color="auto"/>
      </w:pBdr>
      <w:spacing w:before="100" w:beforeAutospacing="1" w:after="100" w:afterAutospacing="1"/>
      <w:jc w:val="center"/>
    </w:pPr>
    <w:rPr>
      <w:rFonts w:eastAsia="Calibri"/>
      <w:lang w:val="ru-RU" w:eastAsia="en-US"/>
    </w:rPr>
  </w:style>
  <w:style w:type="paragraph" w:customStyle="1" w:styleId="1c">
    <w:name w:val="Без интервала1"/>
    <w:uiPriority w:val="99"/>
    <w:rsid w:val="00D120E6"/>
    <w:pPr>
      <w:spacing w:after="0" w:line="240" w:lineRule="auto"/>
    </w:pPr>
    <w:rPr>
      <w:rFonts w:ascii="Times New Roman" w:eastAsia="Calibri" w:hAnsi="Times New Roman" w:cs="Times New Roman"/>
      <w:sz w:val="24"/>
      <w:szCs w:val="24"/>
      <w:lang w:val="en-US"/>
    </w:rPr>
  </w:style>
  <w:style w:type="paragraph" w:customStyle="1" w:styleId="211">
    <w:name w:val="Основной текст21"/>
    <w:basedOn w:val="a1"/>
    <w:uiPriority w:val="99"/>
    <w:rsid w:val="00D120E6"/>
    <w:pPr>
      <w:widowControl w:val="0"/>
    </w:pPr>
    <w:rPr>
      <w:rFonts w:eastAsia="Calibri"/>
      <w:sz w:val="20"/>
      <w:szCs w:val="20"/>
      <w:lang w:val="en-US" w:eastAsia="en-US"/>
    </w:rPr>
  </w:style>
  <w:style w:type="paragraph" w:customStyle="1" w:styleId="38">
    <w:name w:val="Основной текст3"/>
    <w:basedOn w:val="a1"/>
    <w:uiPriority w:val="99"/>
    <w:rsid w:val="00D120E6"/>
    <w:pPr>
      <w:widowControl w:val="0"/>
    </w:pPr>
    <w:rPr>
      <w:rFonts w:eastAsia="Calibri"/>
      <w:sz w:val="20"/>
      <w:szCs w:val="20"/>
    </w:rPr>
  </w:style>
  <w:style w:type="paragraph" w:customStyle="1" w:styleId="44">
    <w:name w:val="Основной текст4"/>
    <w:basedOn w:val="a1"/>
    <w:uiPriority w:val="99"/>
    <w:rsid w:val="00D120E6"/>
    <w:pPr>
      <w:widowControl w:val="0"/>
    </w:pPr>
    <w:rPr>
      <w:rFonts w:eastAsia="Calibri"/>
      <w:sz w:val="20"/>
      <w:szCs w:val="20"/>
    </w:rPr>
  </w:style>
  <w:style w:type="paragraph" w:customStyle="1" w:styleId="2e">
    <w:name w:val="Абзац списка2"/>
    <w:basedOn w:val="a1"/>
    <w:uiPriority w:val="99"/>
    <w:rsid w:val="00D120E6"/>
    <w:pPr>
      <w:spacing w:after="200" w:line="276" w:lineRule="auto"/>
      <w:ind w:left="720"/>
      <w:contextualSpacing/>
    </w:pPr>
    <w:rPr>
      <w:rFonts w:ascii="Calibri" w:eastAsia="Calibri" w:hAnsi="Calibri"/>
      <w:sz w:val="22"/>
      <w:szCs w:val="22"/>
      <w:lang w:eastAsia="en-US"/>
    </w:rPr>
  </w:style>
  <w:style w:type="paragraph" w:customStyle="1" w:styleId="54">
    <w:name w:val="Основной текст5"/>
    <w:basedOn w:val="a1"/>
    <w:uiPriority w:val="99"/>
    <w:rsid w:val="00D120E6"/>
    <w:pPr>
      <w:widowControl w:val="0"/>
    </w:pPr>
    <w:rPr>
      <w:rFonts w:eastAsia="Calibri"/>
      <w:sz w:val="20"/>
      <w:szCs w:val="20"/>
    </w:rPr>
  </w:style>
  <w:style w:type="paragraph" w:customStyle="1" w:styleId="2f">
    <w:name w:val="Стиль2"/>
    <w:basedOn w:val="a1"/>
    <w:uiPriority w:val="99"/>
    <w:rsid w:val="00D120E6"/>
    <w:rPr>
      <w:rFonts w:eastAsia="Calibri"/>
      <w:lang w:val="en-US" w:eastAsia="en-US"/>
    </w:rPr>
  </w:style>
  <w:style w:type="paragraph" w:customStyle="1" w:styleId="310">
    <w:name w:val="Заголовок 31"/>
    <w:basedOn w:val="a1"/>
    <w:uiPriority w:val="99"/>
    <w:rsid w:val="00D120E6"/>
    <w:pPr>
      <w:widowControl w:val="0"/>
      <w:tabs>
        <w:tab w:val="num" w:pos="2160"/>
      </w:tabs>
      <w:suppressAutoHyphens/>
      <w:spacing w:before="100" w:after="100"/>
      <w:ind w:left="2160" w:hanging="360"/>
      <w:jc w:val="left"/>
      <w:outlineLvl w:val="2"/>
    </w:pPr>
    <w:rPr>
      <w:b/>
      <w:bCs/>
      <w:sz w:val="27"/>
      <w:szCs w:val="27"/>
      <w:lang w:val="ru-RU" w:eastAsia="ar-SA"/>
    </w:rPr>
  </w:style>
  <w:style w:type="paragraph" w:customStyle="1" w:styleId="1d">
    <w:name w:val="Обычный (веб)1"/>
    <w:basedOn w:val="a1"/>
    <w:uiPriority w:val="99"/>
    <w:rsid w:val="00D120E6"/>
    <w:pPr>
      <w:widowControl w:val="0"/>
      <w:suppressAutoHyphens/>
      <w:spacing w:before="100" w:after="100"/>
      <w:jc w:val="left"/>
    </w:pPr>
    <w:rPr>
      <w:lang w:val="ru-RU" w:eastAsia="ar-SA"/>
    </w:rPr>
  </w:style>
  <w:style w:type="paragraph" w:customStyle="1" w:styleId="rvps7">
    <w:name w:val="rvps7"/>
    <w:basedOn w:val="a1"/>
    <w:uiPriority w:val="99"/>
    <w:rsid w:val="00D120E6"/>
    <w:pPr>
      <w:spacing w:before="100" w:beforeAutospacing="1" w:after="100" w:afterAutospacing="1"/>
      <w:jc w:val="left"/>
    </w:pPr>
    <w:rPr>
      <w:lang w:val="ru-RU"/>
    </w:rPr>
  </w:style>
  <w:style w:type="paragraph" w:customStyle="1" w:styleId="rvps2">
    <w:name w:val="rvps2"/>
    <w:basedOn w:val="a1"/>
    <w:uiPriority w:val="99"/>
    <w:rsid w:val="00D120E6"/>
    <w:pPr>
      <w:spacing w:before="100" w:beforeAutospacing="1" w:after="100" w:afterAutospacing="1"/>
      <w:jc w:val="left"/>
    </w:pPr>
    <w:rPr>
      <w:lang w:val="ru-RU"/>
    </w:rPr>
  </w:style>
  <w:style w:type="paragraph" w:customStyle="1" w:styleId="nospacing">
    <w:name w:val="nospacing"/>
    <w:basedOn w:val="a1"/>
    <w:uiPriority w:val="99"/>
    <w:rsid w:val="00D120E6"/>
    <w:pPr>
      <w:spacing w:before="100" w:beforeAutospacing="1" w:after="100" w:afterAutospacing="1"/>
      <w:jc w:val="left"/>
    </w:pPr>
    <w:rPr>
      <w:lang w:eastAsia="uk-UA"/>
    </w:rPr>
  </w:style>
  <w:style w:type="paragraph" w:customStyle="1" w:styleId="rvps14">
    <w:name w:val="rvps14"/>
    <w:basedOn w:val="a1"/>
    <w:uiPriority w:val="99"/>
    <w:rsid w:val="00D120E6"/>
    <w:pPr>
      <w:spacing w:before="100" w:beforeAutospacing="1" w:after="100" w:afterAutospacing="1"/>
      <w:jc w:val="left"/>
    </w:pPr>
    <w:rPr>
      <w:lang w:eastAsia="uk-UA"/>
    </w:rPr>
  </w:style>
  <w:style w:type="character" w:styleId="afff3">
    <w:name w:val="footnote reference"/>
    <w:semiHidden/>
    <w:unhideWhenUsed/>
    <w:rsid w:val="00D120E6"/>
    <w:rPr>
      <w:rFonts w:ascii="Times New Roman" w:hAnsi="Times New Roman" w:cs="Times New Roman" w:hint="default"/>
      <w:vertAlign w:val="superscript"/>
    </w:rPr>
  </w:style>
  <w:style w:type="character" w:styleId="afff4">
    <w:name w:val="annotation reference"/>
    <w:semiHidden/>
    <w:unhideWhenUsed/>
    <w:rsid w:val="00D120E6"/>
    <w:rPr>
      <w:rFonts w:ascii="Times New Roman" w:hAnsi="Times New Roman" w:cs="Times New Roman" w:hint="default"/>
      <w:sz w:val="16"/>
    </w:rPr>
  </w:style>
  <w:style w:type="character" w:styleId="afff5">
    <w:name w:val="endnote reference"/>
    <w:semiHidden/>
    <w:unhideWhenUsed/>
    <w:rsid w:val="00D120E6"/>
    <w:rPr>
      <w:rFonts w:ascii="Times New Roman" w:hAnsi="Times New Roman" w:cs="Times New Roman" w:hint="default"/>
      <w:vertAlign w:val="superscript"/>
    </w:rPr>
  </w:style>
  <w:style w:type="character" w:customStyle="1" w:styleId="21">
    <w:name w:val="Заголовок 2 Знак1"/>
    <w:link w:val="2"/>
    <w:semiHidden/>
    <w:locked/>
    <w:rsid w:val="00D120E6"/>
    <w:rPr>
      <w:rFonts w:ascii="Arial" w:eastAsia="Times New Roman" w:hAnsi="Arial" w:cs="Arial"/>
      <w:b/>
      <w:bCs/>
      <w:i/>
      <w:iCs/>
      <w:sz w:val="28"/>
      <w:szCs w:val="28"/>
      <w:lang w:val="uk-UA" w:eastAsia="ru-RU"/>
    </w:rPr>
  </w:style>
  <w:style w:type="character" w:customStyle="1" w:styleId="HTML1">
    <w:name w:val="Стандартный HTML Знак1"/>
    <w:link w:val="HTML"/>
    <w:uiPriority w:val="99"/>
    <w:semiHidden/>
    <w:locked/>
    <w:rsid w:val="00D120E6"/>
    <w:rPr>
      <w:rFonts w:ascii="Courier New" w:eastAsia="Times New Roman" w:hAnsi="Courier New" w:cs="Courier New"/>
      <w:color w:val="000000"/>
      <w:sz w:val="21"/>
      <w:szCs w:val="21"/>
      <w:lang w:val="uk-UA" w:eastAsia="ru-RU"/>
    </w:rPr>
  </w:style>
  <w:style w:type="character" w:customStyle="1" w:styleId="WW-Absatz-Standardschriftart">
    <w:name w:val="WW-Absatz-Standardschriftart"/>
    <w:rsid w:val="00D120E6"/>
  </w:style>
  <w:style w:type="character" w:customStyle="1" w:styleId="WW-Absatz-Standardschriftart1">
    <w:name w:val="WW-Absatz-Standardschriftart1"/>
    <w:rsid w:val="00D120E6"/>
  </w:style>
  <w:style w:type="character" w:customStyle="1" w:styleId="WW-Absatz-Standardschriftart11">
    <w:name w:val="WW-Absatz-Standardschriftart11"/>
    <w:rsid w:val="00D120E6"/>
  </w:style>
  <w:style w:type="character" w:customStyle="1" w:styleId="WW-">
    <w:name w:val="WW-Основной шрифт абзаца"/>
    <w:rsid w:val="00D120E6"/>
  </w:style>
  <w:style w:type="character" w:customStyle="1" w:styleId="afff6">
    <w:name w:val="Знак нумерации"/>
    <w:rsid w:val="00D120E6"/>
  </w:style>
  <w:style w:type="character" w:customStyle="1" w:styleId="WW-0">
    <w:name w:val="WW-Знак нумерации"/>
    <w:rsid w:val="00D120E6"/>
  </w:style>
  <w:style w:type="character" w:customStyle="1" w:styleId="WW-1">
    <w:name w:val="WW-Знак нумерации1"/>
    <w:rsid w:val="00D120E6"/>
  </w:style>
  <w:style w:type="character" w:customStyle="1" w:styleId="WW-11">
    <w:name w:val="WW-Знак нумерации11"/>
    <w:rsid w:val="00D120E6"/>
  </w:style>
  <w:style w:type="paragraph" w:styleId="z-">
    <w:name w:val="HTML Top of Form"/>
    <w:basedOn w:val="a1"/>
    <w:next w:val="a1"/>
    <w:link w:val="z-0"/>
    <w:hidden/>
    <w:semiHidden/>
    <w:unhideWhenUsed/>
    <w:rsid w:val="00D120E6"/>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semiHidden/>
    <w:rsid w:val="00D120E6"/>
    <w:rPr>
      <w:rFonts w:ascii="Arial" w:eastAsia="Times New Roman" w:hAnsi="Arial" w:cs="Arial"/>
      <w:vanish/>
      <w:sz w:val="16"/>
      <w:szCs w:val="16"/>
      <w:lang w:val="uk-UA" w:eastAsia="ru-RU"/>
    </w:rPr>
  </w:style>
  <w:style w:type="character" w:customStyle="1" w:styleId="270">
    <w:name w:val="Знак Знак27"/>
    <w:rsid w:val="00D120E6"/>
    <w:rPr>
      <w:rFonts w:ascii="Arial" w:eastAsia="Times New Roman" w:hAnsi="Arial" w:cs="Times New Roman" w:hint="default"/>
      <w:b/>
      <w:bCs w:val="0"/>
      <w:kern w:val="28"/>
      <w:sz w:val="28"/>
      <w:szCs w:val="20"/>
      <w:lang w:val="uk-UA" w:eastAsia="ru-RU"/>
    </w:rPr>
  </w:style>
  <w:style w:type="character" w:customStyle="1" w:styleId="260">
    <w:name w:val="Знак Знак26"/>
    <w:rsid w:val="00D120E6"/>
    <w:rPr>
      <w:rFonts w:ascii="Times New Roman" w:eastAsia="Times New Roman" w:hAnsi="Times New Roman" w:cs="Times New Roman" w:hint="default"/>
      <w:b/>
      <w:bCs w:val="0"/>
      <w:i/>
      <w:iCs w:val="0"/>
      <w:szCs w:val="20"/>
      <w:lang w:val="uk-UA" w:eastAsia="ru-RU"/>
    </w:rPr>
  </w:style>
  <w:style w:type="character" w:customStyle="1" w:styleId="250">
    <w:name w:val="Знак Знак25"/>
    <w:rsid w:val="00D120E6"/>
    <w:rPr>
      <w:rFonts w:ascii="Arial" w:eastAsia="Times New Roman" w:hAnsi="Arial" w:cs="Times New Roman" w:hint="default"/>
      <w:sz w:val="24"/>
      <w:szCs w:val="20"/>
      <w:lang w:val="uk-UA" w:eastAsia="ru-RU"/>
    </w:rPr>
  </w:style>
  <w:style w:type="character" w:customStyle="1" w:styleId="240">
    <w:name w:val="Знак Знак24"/>
    <w:rsid w:val="00D120E6"/>
    <w:rPr>
      <w:rFonts w:ascii="Times New Roman CYR" w:eastAsia="Times New Roman" w:hAnsi="Times New Roman CYR" w:cs="Times New Roman" w:hint="default"/>
      <w:color w:val="0000FF"/>
      <w:szCs w:val="20"/>
      <w:u w:val="single"/>
      <w:lang w:val="uk-UA" w:eastAsia="ru-RU"/>
    </w:rPr>
  </w:style>
  <w:style w:type="character" w:customStyle="1" w:styleId="230">
    <w:name w:val="Знак Знак23"/>
    <w:rsid w:val="00D120E6"/>
    <w:rPr>
      <w:rFonts w:ascii="Times New Roman" w:eastAsia="Times New Roman" w:hAnsi="Times New Roman" w:cs="Times New Roman" w:hint="default"/>
      <w:b/>
      <w:bCs/>
      <w:i/>
      <w:iCs/>
      <w:szCs w:val="20"/>
      <w:lang w:val="uk-UA" w:eastAsia="ru-RU"/>
    </w:rPr>
  </w:style>
  <w:style w:type="character" w:customStyle="1" w:styleId="afff7">
    <w:name w:val="Îñíîâíîé øðèôò"/>
    <w:rsid w:val="00D120E6"/>
  </w:style>
  <w:style w:type="character" w:customStyle="1" w:styleId="afff8">
    <w:name w:val="çíàê ïðèìå÷àíèÿ"/>
    <w:rsid w:val="00D120E6"/>
    <w:rPr>
      <w:sz w:val="16"/>
    </w:rPr>
  </w:style>
  <w:style w:type="character" w:customStyle="1" w:styleId="afff9">
    <w:name w:val="çíàê ñíîñêè"/>
    <w:rsid w:val="00D120E6"/>
    <w:rPr>
      <w:vertAlign w:val="superscript"/>
    </w:rPr>
  </w:style>
  <w:style w:type="character" w:customStyle="1" w:styleId="afffa">
    <w:name w:val="íîìåð ñòðàíèöû"/>
    <w:basedOn w:val="afff7"/>
    <w:rsid w:val="00D120E6"/>
  </w:style>
  <w:style w:type="character" w:customStyle="1" w:styleId="noiaee">
    <w:name w:val="noiaee"/>
    <w:rsid w:val="00D120E6"/>
    <w:rPr>
      <w:b/>
      <w:bCs/>
      <w:color w:val="000000"/>
    </w:rPr>
  </w:style>
  <w:style w:type="character" w:customStyle="1" w:styleId="abc-paragrahinnoteschar">
    <w:name w:val="abc-paragrahinnoteschar"/>
    <w:rsid w:val="00D120E6"/>
    <w:rPr>
      <w:rFonts w:ascii="Arial" w:hAnsi="Arial" w:cs="Arial" w:hint="default"/>
    </w:rPr>
  </w:style>
  <w:style w:type="character" w:customStyle="1" w:styleId="afffb">
    <w:name w:val="a"/>
    <w:rsid w:val="00D120E6"/>
    <w:rPr>
      <w:b/>
      <w:bCs/>
    </w:rPr>
  </w:style>
  <w:style w:type="character" w:customStyle="1" w:styleId="1e">
    <w:name w:val="1"/>
    <w:rsid w:val="00D120E6"/>
    <w:rPr>
      <w:rFonts w:ascii="Arial" w:hAnsi="Arial" w:cs="Arial" w:hint="default"/>
      <w:b/>
      <w:bCs/>
    </w:rPr>
  </w:style>
  <w:style w:type="character" w:customStyle="1" w:styleId="a00">
    <w:name w:val="a0"/>
    <w:rsid w:val="00D120E6"/>
    <w:rPr>
      <w:rFonts w:ascii="Courier New" w:hAnsi="Courier New" w:cs="Courier New" w:hint="default"/>
    </w:rPr>
  </w:style>
  <w:style w:type="character" w:customStyle="1" w:styleId="fontstyle12">
    <w:name w:val="fontstyle12"/>
    <w:rsid w:val="00D120E6"/>
    <w:rPr>
      <w:rFonts w:ascii="Times New Roman" w:hAnsi="Times New Roman" w:cs="Times New Roman" w:hint="default"/>
      <w:b/>
      <w:bCs/>
    </w:rPr>
  </w:style>
  <w:style w:type="character" w:customStyle="1" w:styleId="fontstyle13">
    <w:name w:val="fontstyle13"/>
    <w:rsid w:val="00D120E6"/>
    <w:rPr>
      <w:rFonts w:ascii="Times New Roman" w:hAnsi="Times New Roman" w:cs="Times New Roman" w:hint="default"/>
    </w:rPr>
  </w:style>
  <w:style w:type="character" w:customStyle="1" w:styleId="fontstyle15">
    <w:name w:val="fontstyle15"/>
    <w:rsid w:val="00D120E6"/>
    <w:rPr>
      <w:rFonts w:ascii="Times New Roman" w:hAnsi="Times New Roman" w:cs="Times New Roman" w:hint="default"/>
    </w:rPr>
  </w:style>
  <w:style w:type="character" w:customStyle="1" w:styleId="fontstyle18">
    <w:name w:val="fontstyle18"/>
    <w:rsid w:val="00D120E6"/>
    <w:rPr>
      <w:rFonts w:ascii="Times New Roman" w:hAnsi="Times New Roman" w:cs="Times New Roman" w:hint="default"/>
      <w:b/>
      <w:bCs/>
      <w:spacing w:val="-10"/>
    </w:rPr>
  </w:style>
  <w:style w:type="character" w:customStyle="1" w:styleId="fontstyle22">
    <w:name w:val="fontstyle22"/>
    <w:rsid w:val="00D120E6"/>
    <w:rPr>
      <w:rFonts w:ascii="Times New Roman" w:hAnsi="Times New Roman" w:cs="Times New Roman" w:hint="default"/>
      <w:b/>
      <w:bCs/>
      <w:smallCaps/>
      <w:spacing w:val="-30"/>
    </w:rPr>
  </w:style>
  <w:style w:type="character" w:customStyle="1" w:styleId="google-src-text1">
    <w:name w:val="google-src-text1"/>
    <w:rsid w:val="00D120E6"/>
    <w:rPr>
      <w:vanish/>
      <w:webHidden w:val="0"/>
      <w:specVanish/>
    </w:rPr>
  </w:style>
  <w:style w:type="character" w:customStyle="1" w:styleId="grame">
    <w:name w:val="grame"/>
    <w:basedOn w:val="a2"/>
    <w:rsid w:val="00D120E6"/>
  </w:style>
  <w:style w:type="character" w:customStyle="1" w:styleId="spelle">
    <w:name w:val="spelle"/>
    <w:basedOn w:val="a2"/>
    <w:rsid w:val="00D120E6"/>
  </w:style>
  <w:style w:type="character" w:customStyle="1" w:styleId="-1">
    <w:name w:val="Таблица - выделение"/>
    <w:rsid w:val="00D120E6"/>
    <w:rPr>
      <w:b/>
      <w:bCs w:val="0"/>
      <w:color w:val="073A78"/>
    </w:rPr>
  </w:style>
  <w:style w:type="character" w:customStyle="1" w:styleId="NormalWebChar">
    <w:name w:val="Normal (Web) Char"/>
    <w:locked/>
    <w:rsid w:val="00D120E6"/>
    <w:rPr>
      <w:rFonts w:ascii="Times New Roman" w:hAnsi="Times New Roman" w:cs="Times New Roman" w:hint="default"/>
      <w:sz w:val="24"/>
      <w:szCs w:val="24"/>
      <w:lang w:val="uk-UA" w:eastAsia="ru-RU" w:bidi="ar-SA"/>
    </w:rPr>
  </w:style>
  <w:style w:type="character" w:customStyle="1" w:styleId="Heading3Char">
    <w:name w:val="Heading 3 Char"/>
    <w:locked/>
    <w:rsid w:val="00D120E6"/>
    <w:rPr>
      <w:b/>
      <w:bCs/>
      <w:sz w:val="27"/>
      <w:szCs w:val="27"/>
      <w:lang w:val="ru-RU" w:eastAsia="ru-RU" w:bidi="ar-SA"/>
    </w:rPr>
  </w:style>
  <w:style w:type="character" w:customStyle="1" w:styleId="Heading1Char">
    <w:name w:val="Heading 1 Char"/>
    <w:locked/>
    <w:rsid w:val="00D120E6"/>
    <w:rPr>
      <w:rFonts w:ascii="Arial" w:hAnsi="Arial" w:cs="Arial" w:hint="default"/>
      <w:b/>
      <w:bCs/>
      <w:kern w:val="32"/>
      <w:sz w:val="32"/>
      <w:szCs w:val="32"/>
      <w:lang w:val="uk-UA" w:eastAsia="ru-RU" w:bidi="ar-SA"/>
    </w:rPr>
  </w:style>
  <w:style w:type="character" w:customStyle="1" w:styleId="130">
    <w:name w:val="Знак Знак13"/>
    <w:rsid w:val="00D120E6"/>
    <w:rPr>
      <w:rFonts w:ascii="Calibri" w:hAnsi="Calibri" w:hint="default"/>
      <w:sz w:val="16"/>
      <w:lang w:val="x-none" w:eastAsia="ru-RU"/>
    </w:rPr>
  </w:style>
  <w:style w:type="character" w:customStyle="1" w:styleId="131">
    <w:name w:val="Знак Знак131"/>
    <w:rsid w:val="00D120E6"/>
    <w:rPr>
      <w:rFonts w:ascii="Calibri" w:hAnsi="Calibri" w:hint="default"/>
      <w:sz w:val="16"/>
      <w:lang w:val="x-none" w:eastAsia="ru-RU"/>
    </w:rPr>
  </w:style>
  <w:style w:type="character" w:customStyle="1" w:styleId="271">
    <w:name w:val="Знак Знак271"/>
    <w:rsid w:val="00D120E6"/>
    <w:rPr>
      <w:rFonts w:ascii="Arial" w:hAnsi="Arial" w:cs="Times New Roman" w:hint="default"/>
      <w:b/>
      <w:bCs w:val="0"/>
      <w:kern w:val="28"/>
      <w:sz w:val="20"/>
      <w:szCs w:val="20"/>
      <w:lang w:val="uk-UA" w:eastAsia="ru-RU"/>
    </w:rPr>
  </w:style>
  <w:style w:type="character" w:customStyle="1" w:styleId="261">
    <w:name w:val="Знак Знак261"/>
    <w:rsid w:val="00D120E6"/>
    <w:rPr>
      <w:rFonts w:ascii="Times New Roman" w:hAnsi="Times New Roman" w:cs="Times New Roman" w:hint="default"/>
      <w:b/>
      <w:bCs w:val="0"/>
      <w:i/>
      <w:iCs w:val="0"/>
      <w:sz w:val="20"/>
      <w:szCs w:val="20"/>
      <w:lang w:val="uk-UA" w:eastAsia="ru-RU"/>
    </w:rPr>
  </w:style>
  <w:style w:type="character" w:customStyle="1" w:styleId="251">
    <w:name w:val="Знак Знак251"/>
    <w:rsid w:val="00D120E6"/>
    <w:rPr>
      <w:rFonts w:ascii="Arial" w:hAnsi="Arial" w:cs="Times New Roman" w:hint="default"/>
      <w:sz w:val="20"/>
      <w:szCs w:val="20"/>
      <w:lang w:val="uk-UA" w:eastAsia="ru-RU"/>
    </w:rPr>
  </w:style>
  <w:style w:type="character" w:customStyle="1" w:styleId="241">
    <w:name w:val="Знак Знак241"/>
    <w:rsid w:val="00D120E6"/>
    <w:rPr>
      <w:rFonts w:ascii="Times New Roman CYR" w:hAnsi="Times New Roman CYR" w:cs="Times New Roman" w:hint="default"/>
      <w:color w:val="0000FF"/>
      <w:sz w:val="20"/>
      <w:szCs w:val="20"/>
      <w:u w:val="single"/>
      <w:lang w:val="uk-UA" w:eastAsia="ru-RU"/>
    </w:rPr>
  </w:style>
  <w:style w:type="character" w:customStyle="1" w:styleId="231">
    <w:name w:val="Знак Знак231"/>
    <w:rsid w:val="00D120E6"/>
    <w:rPr>
      <w:rFonts w:ascii="Times New Roman" w:hAnsi="Times New Roman" w:cs="Times New Roman" w:hint="default"/>
      <w:b/>
      <w:bCs/>
      <w:i/>
      <w:iCs/>
      <w:sz w:val="20"/>
      <w:szCs w:val="20"/>
      <w:lang w:val="uk-UA" w:eastAsia="ru-RU"/>
    </w:rPr>
  </w:style>
  <w:style w:type="character" w:customStyle="1" w:styleId="272">
    <w:name w:val="Знак Знак272"/>
    <w:rsid w:val="00D120E6"/>
    <w:rPr>
      <w:rFonts w:ascii="Arial" w:hAnsi="Arial" w:cs="Times New Roman" w:hint="default"/>
      <w:b/>
      <w:bCs w:val="0"/>
      <w:kern w:val="28"/>
      <w:sz w:val="20"/>
      <w:szCs w:val="20"/>
      <w:lang w:val="uk-UA" w:eastAsia="ru-RU"/>
    </w:rPr>
  </w:style>
  <w:style w:type="character" w:customStyle="1" w:styleId="262">
    <w:name w:val="Знак Знак262"/>
    <w:rsid w:val="00D120E6"/>
    <w:rPr>
      <w:rFonts w:ascii="Times New Roman" w:hAnsi="Times New Roman" w:cs="Times New Roman" w:hint="default"/>
      <w:b/>
      <w:bCs w:val="0"/>
      <w:i/>
      <w:iCs w:val="0"/>
      <w:sz w:val="20"/>
      <w:szCs w:val="20"/>
      <w:lang w:val="uk-UA" w:eastAsia="ru-RU"/>
    </w:rPr>
  </w:style>
  <w:style w:type="character" w:customStyle="1" w:styleId="252">
    <w:name w:val="Знак Знак252"/>
    <w:rsid w:val="00D120E6"/>
    <w:rPr>
      <w:rFonts w:ascii="Arial" w:hAnsi="Arial" w:cs="Times New Roman" w:hint="default"/>
      <w:sz w:val="20"/>
      <w:szCs w:val="20"/>
      <w:lang w:val="uk-UA" w:eastAsia="ru-RU"/>
    </w:rPr>
  </w:style>
  <w:style w:type="character" w:customStyle="1" w:styleId="242">
    <w:name w:val="Знак Знак242"/>
    <w:rsid w:val="00D120E6"/>
    <w:rPr>
      <w:rFonts w:ascii="Times New Roman CYR" w:hAnsi="Times New Roman CYR" w:cs="Times New Roman" w:hint="default"/>
      <w:color w:val="0000FF"/>
      <w:sz w:val="20"/>
      <w:szCs w:val="20"/>
      <w:u w:val="single"/>
      <w:lang w:val="uk-UA" w:eastAsia="ru-RU"/>
    </w:rPr>
  </w:style>
  <w:style w:type="character" w:customStyle="1" w:styleId="232">
    <w:name w:val="Знак Знак232"/>
    <w:rsid w:val="00D120E6"/>
    <w:rPr>
      <w:rFonts w:ascii="Times New Roman" w:hAnsi="Times New Roman" w:cs="Times New Roman" w:hint="default"/>
      <w:b/>
      <w:bCs/>
      <w:i/>
      <w:iCs/>
      <w:sz w:val="20"/>
      <w:szCs w:val="20"/>
      <w:lang w:val="uk-UA" w:eastAsia="ru-RU"/>
    </w:rPr>
  </w:style>
  <w:style w:type="character" w:customStyle="1" w:styleId="133">
    <w:name w:val="Знак Знак133"/>
    <w:locked/>
    <w:rsid w:val="00D120E6"/>
    <w:rPr>
      <w:rFonts w:ascii="Times New Roman" w:hAnsi="Times New Roman" w:cs="Times New Roman" w:hint="default"/>
      <w:sz w:val="24"/>
      <w:szCs w:val="24"/>
      <w:lang w:val="ru-RU" w:eastAsia="ru-RU" w:bidi="ar-SA"/>
    </w:rPr>
  </w:style>
  <w:style w:type="character" w:customStyle="1" w:styleId="132">
    <w:name w:val="Знак Знак132"/>
    <w:locked/>
    <w:rsid w:val="00D120E6"/>
    <w:rPr>
      <w:rFonts w:ascii="Times New Roman" w:hAnsi="Times New Roman" w:cs="Times New Roman" w:hint="default"/>
      <w:sz w:val="24"/>
      <w:szCs w:val="24"/>
      <w:lang w:val="ru-RU" w:eastAsia="ru-RU" w:bidi="ar-SA"/>
    </w:rPr>
  </w:style>
  <w:style w:type="character" w:customStyle="1" w:styleId="273">
    <w:name w:val="Знак Знак273"/>
    <w:rsid w:val="00D120E6"/>
    <w:rPr>
      <w:rFonts w:ascii="Arial" w:hAnsi="Arial" w:cs="Times New Roman" w:hint="default"/>
      <w:b/>
      <w:bCs w:val="0"/>
      <w:kern w:val="28"/>
      <w:sz w:val="20"/>
      <w:szCs w:val="20"/>
      <w:lang w:val="uk-UA" w:eastAsia="ru-RU"/>
    </w:rPr>
  </w:style>
  <w:style w:type="character" w:customStyle="1" w:styleId="263">
    <w:name w:val="Знак Знак263"/>
    <w:rsid w:val="00D120E6"/>
    <w:rPr>
      <w:rFonts w:ascii="Times New Roman" w:hAnsi="Times New Roman" w:cs="Times New Roman" w:hint="default"/>
      <w:b/>
      <w:bCs w:val="0"/>
      <w:i/>
      <w:iCs w:val="0"/>
      <w:sz w:val="20"/>
      <w:szCs w:val="20"/>
      <w:lang w:val="uk-UA" w:eastAsia="ru-RU"/>
    </w:rPr>
  </w:style>
  <w:style w:type="character" w:customStyle="1" w:styleId="253">
    <w:name w:val="Знак Знак253"/>
    <w:rsid w:val="00D120E6"/>
    <w:rPr>
      <w:rFonts w:ascii="Arial" w:hAnsi="Arial" w:cs="Times New Roman" w:hint="default"/>
      <w:sz w:val="20"/>
      <w:szCs w:val="20"/>
      <w:lang w:val="uk-UA" w:eastAsia="ru-RU"/>
    </w:rPr>
  </w:style>
  <w:style w:type="character" w:customStyle="1" w:styleId="243">
    <w:name w:val="Знак Знак243"/>
    <w:rsid w:val="00D120E6"/>
    <w:rPr>
      <w:rFonts w:ascii="Times New Roman CYR" w:hAnsi="Times New Roman CYR" w:cs="Times New Roman" w:hint="default"/>
      <w:color w:val="0000FF"/>
      <w:sz w:val="20"/>
      <w:szCs w:val="20"/>
      <w:u w:val="single"/>
      <w:lang w:val="uk-UA" w:eastAsia="ru-RU"/>
    </w:rPr>
  </w:style>
  <w:style w:type="character" w:customStyle="1" w:styleId="233">
    <w:name w:val="Знак Знак233"/>
    <w:rsid w:val="00D120E6"/>
    <w:rPr>
      <w:rFonts w:ascii="Times New Roman" w:hAnsi="Times New Roman" w:cs="Times New Roman" w:hint="default"/>
      <w:b/>
      <w:bCs/>
      <w:i/>
      <w:iCs/>
      <w:sz w:val="20"/>
      <w:szCs w:val="20"/>
      <w:lang w:val="uk-UA" w:eastAsia="ru-RU"/>
    </w:rPr>
  </w:style>
  <w:style w:type="character" w:customStyle="1" w:styleId="280">
    <w:name w:val="Знак Знак28"/>
    <w:rsid w:val="00D120E6"/>
    <w:rPr>
      <w:rFonts w:ascii="Arial" w:hAnsi="Arial" w:cs="Arial" w:hint="default"/>
      <w:b/>
      <w:bCs/>
      <w:kern w:val="32"/>
      <w:sz w:val="32"/>
      <w:szCs w:val="32"/>
      <w:lang w:val="uk-UA" w:eastAsia="ru-RU" w:bidi="ar-SA"/>
    </w:rPr>
  </w:style>
  <w:style w:type="character" w:customStyle="1" w:styleId="140">
    <w:name w:val="Знак Знак14"/>
    <w:locked/>
    <w:rsid w:val="00D120E6"/>
    <w:rPr>
      <w:rFonts w:ascii="Times New Roman" w:hAnsi="Times New Roman" w:cs="Times New Roman" w:hint="default"/>
      <w:sz w:val="24"/>
      <w:szCs w:val="24"/>
      <w:lang w:val="uk-UA" w:eastAsia="ru-RU" w:bidi="ar-SA"/>
    </w:rPr>
  </w:style>
  <w:style w:type="character" w:customStyle="1" w:styleId="120">
    <w:name w:val="Знак Знак12"/>
    <w:rsid w:val="00D120E6"/>
    <w:rPr>
      <w:rFonts w:ascii="Courier New" w:hAnsi="Courier New" w:cs="Courier New" w:hint="default"/>
      <w:color w:val="000000"/>
      <w:sz w:val="21"/>
      <w:szCs w:val="21"/>
      <w:lang w:val="uk-UA" w:eastAsia="ru-RU" w:bidi="ar-SA"/>
    </w:rPr>
  </w:style>
  <w:style w:type="character" w:customStyle="1" w:styleId="101">
    <w:name w:val="Знак Знак10"/>
    <w:rsid w:val="00D120E6"/>
    <w:rPr>
      <w:rFonts w:ascii="Times New Roman" w:hAnsi="Times New Roman" w:cs="Times New Roman" w:hint="default"/>
      <w:sz w:val="24"/>
      <w:szCs w:val="24"/>
      <w:lang w:val="uk-UA" w:eastAsia="ru-RU" w:bidi="ar-SA"/>
    </w:rPr>
  </w:style>
  <w:style w:type="character" w:customStyle="1" w:styleId="2f0">
    <w:name w:val="Знак Знак2"/>
    <w:rsid w:val="00D120E6"/>
    <w:rPr>
      <w:rFonts w:ascii="Futuris" w:hAnsi="Futuris" w:cs="Times New Roman" w:hint="default"/>
      <w:sz w:val="24"/>
      <w:lang w:val="uk-UA" w:eastAsia="ru-RU" w:bidi="ar-SA"/>
    </w:rPr>
  </w:style>
  <w:style w:type="character" w:customStyle="1" w:styleId="1f">
    <w:name w:val="Знак Знак1"/>
    <w:rsid w:val="00D120E6"/>
    <w:rPr>
      <w:rFonts w:ascii="Times New Roman" w:hAnsi="Times New Roman" w:cs="Times New Roman" w:hint="default"/>
      <w:sz w:val="24"/>
      <w:szCs w:val="24"/>
      <w:lang w:val="uk-UA" w:eastAsia="ru-RU" w:bidi="ar-SA"/>
    </w:rPr>
  </w:style>
  <w:style w:type="character" w:customStyle="1" w:styleId="274">
    <w:name w:val="Знак Знак274"/>
    <w:rsid w:val="00D120E6"/>
    <w:rPr>
      <w:rFonts w:ascii="Arial" w:hAnsi="Arial" w:cs="Times New Roman" w:hint="default"/>
      <w:b/>
      <w:bCs w:val="0"/>
      <w:kern w:val="28"/>
      <w:sz w:val="20"/>
      <w:szCs w:val="20"/>
      <w:lang w:val="uk-UA" w:eastAsia="ru-RU"/>
    </w:rPr>
  </w:style>
  <w:style w:type="character" w:customStyle="1" w:styleId="264">
    <w:name w:val="Знак Знак264"/>
    <w:rsid w:val="00D120E6"/>
    <w:rPr>
      <w:rFonts w:ascii="Times New Roman" w:hAnsi="Times New Roman" w:cs="Times New Roman" w:hint="default"/>
      <w:b/>
      <w:bCs w:val="0"/>
      <w:i/>
      <w:iCs w:val="0"/>
      <w:sz w:val="20"/>
      <w:szCs w:val="20"/>
      <w:lang w:val="uk-UA" w:eastAsia="ru-RU"/>
    </w:rPr>
  </w:style>
  <w:style w:type="character" w:customStyle="1" w:styleId="254">
    <w:name w:val="Знак Знак254"/>
    <w:rsid w:val="00D120E6"/>
    <w:rPr>
      <w:rFonts w:ascii="Arial" w:hAnsi="Arial" w:cs="Times New Roman" w:hint="default"/>
      <w:sz w:val="20"/>
      <w:szCs w:val="20"/>
      <w:lang w:val="uk-UA" w:eastAsia="ru-RU"/>
    </w:rPr>
  </w:style>
  <w:style w:type="character" w:customStyle="1" w:styleId="244">
    <w:name w:val="Знак Знак244"/>
    <w:rsid w:val="00D120E6"/>
    <w:rPr>
      <w:rFonts w:ascii="Times New Roman CYR" w:hAnsi="Times New Roman CYR" w:cs="Times New Roman" w:hint="default"/>
      <w:color w:val="0000FF"/>
      <w:sz w:val="20"/>
      <w:szCs w:val="20"/>
      <w:u w:val="single"/>
      <w:lang w:val="uk-UA" w:eastAsia="ru-RU"/>
    </w:rPr>
  </w:style>
  <w:style w:type="character" w:customStyle="1" w:styleId="234">
    <w:name w:val="Знак Знак234"/>
    <w:rsid w:val="00D120E6"/>
    <w:rPr>
      <w:rFonts w:ascii="Times New Roman" w:hAnsi="Times New Roman" w:cs="Times New Roman" w:hint="default"/>
      <w:b/>
      <w:bCs/>
      <w:i/>
      <w:iCs/>
      <w:sz w:val="20"/>
      <w:szCs w:val="20"/>
      <w:lang w:val="uk-UA" w:eastAsia="ru-RU"/>
    </w:rPr>
  </w:style>
  <w:style w:type="character" w:customStyle="1" w:styleId="275">
    <w:name w:val="Знак Знак275"/>
    <w:rsid w:val="00D120E6"/>
    <w:rPr>
      <w:rFonts w:ascii="Arial" w:hAnsi="Arial" w:cs="Times New Roman" w:hint="default"/>
      <w:b/>
      <w:bCs w:val="0"/>
      <w:kern w:val="28"/>
      <w:sz w:val="20"/>
      <w:szCs w:val="20"/>
      <w:lang w:val="uk-UA" w:eastAsia="ru-RU"/>
    </w:rPr>
  </w:style>
  <w:style w:type="character" w:customStyle="1" w:styleId="265">
    <w:name w:val="Знак Знак265"/>
    <w:rsid w:val="00D120E6"/>
    <w:rPr>
      <w:rFonts w:ascii="Times New Roman" w:hAnsi="Times New Roman" w:cs="Times New Roman" w:hint="default"/>
      <w:b/>
      <w:bCs w:val="0"/>
      <w:i/>
      <w:iCs w:val="0"/>
      <w:sz w:val="20"/>
      <w:szCs w:val="20"/>
      <w:lang w:val="uk-UA" w:eastAsia="ru-RU"/>
    </w:rPr>
  </w:style>
  <w:style w:type="character" w:customStyle="1" w:styleId="255">
    <w:name w:val="Знак Знак255"/>
    <w:rsid w:val="00D120E6"/>
    <w:rPr>
      <w:rFonts w:ascii="Arial" w:hAnsi="Arial" w:cs="Times New Roman" w:hint="default"/>
      <w:sz w:val="20"/>
      <w:szCs w:val="20"/>
      <w:lang w:val="uk-UA" w:eastAsia="ru-RU"/>
    </w:rPr>
  </w:style>
  <w:style w:type="character" w:customStyle="1" w:styleId="245">
    <w:name w:val="Знак Знак245"/>
    <w:rsid w:val="00D120E6"/>
    <w:rPr>
      <w:rFonts w:ascii="Times New Roman CYR" w:hAnsi="Times New Roman CYR" w:cs="Times New Roman" w:hint="default"/>
      <w:color w:val="0000FF"/>
      <w:sz w:val="20"/>
      <w:szCs w:val="20"/>
      <w:u w:val="single"/>
      <w:lang w:val="uk-UA" w:eastAsia="ru-RU"/>
    </w:rPr>
  </w:style>
  <w:style w:type="character" w:customStyle="1" w:styleId="235">
    <w:name w:val="Знак Знак235"/>
    <w:rsid w:val="00D120E6"/>
    <w:rPr>
      <w:rFonts w:ascii="Times New Roman" w:hAnsi="Times New Roman" w:cs="Times New Roman" w:hint="default"/>
      <w:b/>
      <w:bCs/>
      <w:i/>
      <w:iCs/>
      <w:sz w:val="20"/>
      <w:szCs w:val="20"/>
      <w:lang w:val="uk-UA" w:eastAsia="ru-RU"/>
    </w:rPr>
  </w:style>
  <w:style w:type="character" w:customStyle="1" w:styleId="apple-converted-space">
    <w:name w:val="apple-converted-space"/>
    <w:basedOn w:val="a2"/>
    <w:rsid w:val="00D120E6"/>
  </w:style>
  <w:style w:type="character" w:customStyle="1" w:styleId="rvts44">
    <w:name w:val="rvts44"/>
    <w:basedOn w:val="a2"/>
    <w:rsid w:val="00D120E6"/>
  </w:style>
  <w:style w:type="character" w:customStyle="1" w:styleId="rvts15">
    <w:name w:val="rvts15"/>
    <w:basedOn w:val="a2"/>
    <w:rsid w:val="00D120E6"/>
  </w:style>
  <w:style w:type="character" w:customStyle="1" w:styleId="rvts9">
    <w:name w:val="rvts9"/>
    <w:basedOn w:val="a2"/>
    <w:rsid w:val="00D120E6"/>
  </w:style>
  <w:style w:type="character" w:customStyle="1" w:styleId="rvts48">
    <w:name w:val="rvts48"/>
    <w:basedOn w:val="a2"/>
    <w:rsid w:val="00D120E6"/>
  </w:style>
  <w:style w:type="character" w:customStyle="1" w:styleId="rvts23">
    <w:name w:val="rvts23"/>
    <w:basedOn w:val="a2"/>
    <w:rsid w:val="00D120E6"/>
  </w:style>
  <w:style w:type="table" w:styleId="1f0">
    <w:name w:val="Table Grid 1"/>
    <w:basedOn w:val="a3"/>
    <w:semiHidden/>
    <w:unhideWhenUsed/>
    <w:rsid w:val="00D120E6"/>
    <w:pPr>
      <w:spacing w:before="40" w:after="0" w:line="280" w:lineRule="exact"/>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semiHidden/>
    <w:unhideWhenUsed/>
    <w:rsid w:val="00D120E6"/>
    <w:pPr>
      <w:spacing w:before="40" w:after="0" w:line="280" w:lineRule="exact"/>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c">
    <w:name w:val="Table Elegant"/>
    <w:basedOn w:val="a3"/>
    <w:semiHidden/>
    <w:unhideWhenUsed/>
    <w:rsid w:val="00D120E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d">
    <w:name w:val="Table Grid"/>
    <w:basedOn w:val="a3"/>
    <w:rsid w:val="00D120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3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929_015/paran442" TargetMode="External"/><Relationship Id="rId13" Type="http://schemas.openxmlformats.org/officeDocument/2006/relationships/hyperlink" Target="http://zakon3.rada.gov.ua/laws/show/929_025" TargetMode="External"/><Relationship Id="rId3" Type="http://schemas.openxmlformats.org/officeDocument/2006/relationships/styles" Target="styles.xml"/><Relationship Id="rId7" Type="http://schemas.openxmlformats.org/officeDocument/2006/relationships/hyperlink" Target="http://zakon4.rada.gov.ua/laws/show/929_015/paran228" TargetMode="External"/><Relationship Id="rId12" Type="http://schemas.openxmlformats.org/officeDocument/2006/relationships/hyperlink" Target="http://zakon4.rada.gov.ua/laws/show/929_016/paran4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929_016/paran45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929_016/paran107" TargetMode="External"/><Relationship Id="rId4" Type="http://schemas.microsoft.com/office/2007/relationships/stylesWithEffects" Target="stylesWithEffects.xml"/><Relationship Id="rId9" Type="http://schemas.openxmlformats.org/officeDocument/2006/relationships/hyperlink" Target="http://zakon4.rada.gov.ua/laws/show/929_016/paran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136CD-34B2-49A4-91BF-481AF257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10267</Words>
  <Characters>58524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2016-02-24T12:19:00Z</cp:lastPrinted>
  <dcterms:created xsi:type="dcterms:W3CDTF">2017-04-18T10:29:00Z</dcterms:created>
  <dcterms:modified xsi:type="dcterms:W3CDTF">2017-04-18T10:37:00Z</dcterms:modified>
</cp:coreProperties>
</file>